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B0" w:rsidRPr="00BE6DE5" w:rsidRDefault="00BE6DE5" w:rsidP="00BE6DE5">
      <w:pPr>
        <w:spacing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</w:rPr>
        <w:t xml:space="preserve">          </w:t>
      </w:r>
      <w:r w:rsidR="00D336B0" w:rsidRPr="00BE6DE5">
        <w:rPr>
          <w:rFonts w:asciiTheme="minorHAnsi" w:eastAsiaTheme="minorHAnsi" w:hAnsiTheme="minorHAnsi" w:cstheme="minorHAnsi"/>
          <w:noProof/>
          <w:sz w:val="22"/>
          <w:szCs w:val="22"/>
        </w:rPr>
        <w:drawing>
          <wp:inline distT="0" distB="0" distL="0" distR="0" wp14:anchorId="0287FC1F" wp14:editId="35DFE111">
            <wp:extent cx="561975" cy="744617"/>
            <wp:effectExtent l="0" t="0" r="0" b="0"/>
            <wp:docPr id="3" name="Slika 3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4" cy="74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B0" w:rsidRPr="00BE6DE5" w:rsidRDefault="00D336B0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REPUBLIKA HRVATSKA</w:t>
      </w:r>
    </w:p>
    <w:p w:rsidR="00D336B0" w:rsidRPr="00BE6DE5" w:rsidRDefault="00D336B0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PRIMORSKO - GORANSKA ŽUPANIJA</w:t>
      </w:r>
    </w:p>
    <w:p w:rsidR="00D336B0" w:rsidRPr="00BE6DE5" w:rsidRDefault="00D336B0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GRAD MALI LOŠINJ</w:t>
      </w:r>
    </w:p>
    <w:p w:rsidR="0081188D" w:rsidRDefault="0081188D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GRADONAČELNIK</w:t>
      </w:r>
    </w:p>
    <w:p w:rsidR="00D336B0" w:rsidRPr="00BE6DE5" w:rsidRDefault="00D336B0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KLASA: 400-02/25-01/02</w:t>
      </w:r>
    </w:p>
    <w:p w:rsidR="00D336B0" w:rsidRPr="00BE6DE5" w:rsidRDefault="00D336B0" w:rsidP="00BE6DE5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URBROJ:  2170-10-01-25-</w:t>
      </w:r>
    </w:p>
    <w:p w:rsidR="00E86B75" w:rsidRDefault="00D336B0" w:rsidP="0081188D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6DE5">
        <w:rPr>
          <w:rFonts w:asciiTheme="minorHAnsi" w:eastAsiaTheme="minorHAnsi" w:hAnsiTheme="minorHAnsi" w:cstheme="minorHAnsi"/>
          <w:sz w:val="22"/>
          <w:szCs w:val="22"/>
          <w:lang w:eastAsia="en-US"/>
        </w:rPr>
        <w:t>Mali L</w:t>
      </w:r>
      <w:r w:rsidR="0081188D">
        <w:rPr>
          <w:rFonts w:asciiTheme="minorHAnsi" w:eastAsiaTheme="minorHAnsi" w:hAnsiTheme="minorHAnsi" w:cstheme="minorHAnsi"/>
          <w:sz w:val="22"/>
          <w:szCs w:val="22"/>
          <w:lang w:eastAsia="en-US"/>
        </w:rPr>
        <w:t>ošinj, 13. veljače 2026. godine</w:t>
      </w:r>
    </w:p>
    <w:p w:rsidR="0081188D" w:rsidRPr="0081188D" w:rsidRDefault="0081188D" w:rsidP="0081188D">
      <w:pPr>
        <w:spacing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86B75" w:rsidRPr="00BE6DE5" w:rsidRDefault="00B71896" w:rsidP="00BE6DE5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b/>
          <w:sz w:val="22"/>
          <w:szCs w:val="22"/>
        </w:rPr>
        <w:t>BILJEŠKE UZ FINANCIJSKE IZVJEŠTAJE</w:t>
      </w:r>
    </w:p>
    <w:p w:rsidR="00E86B75" w:rsidRPr="00BE6DE5" w:rsidRDefault="00B71896" w:rsidP="00BE6DE5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b/>
          <w:sz w:val="22"/>
          <w:szCs w:val="22"/>
        </w:rPr>
        <w:t>ZA RAZDOBLJE</w:t>
      </w:r>
    </w:p>
    <w:p w:rsidR="0081188D" w:rsidRDefault="00BE6DE5" w:rsidP="00BE6DE5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 - XII 2025</w:t>
      </w:r>
    </w:p>
    <w:p w:rsidR="00BE6DE5" w:rsidRDefault="00BE6DE5" w:rsidP="00BE6DE5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896" w:rsidRPr="00BE6DE5">
        <w:rPr>
          <w:rFonts w:asciiTheme="minorHAnsi" w:hAnsiTheme="minorHAnsi" w:cstheme="minorHAnsi"/>
          <w:b/>
          <w:sz w:val="22"/>
          <w:szCs w:val="22"/>
        </w:rPr>
        <w:t>Izvještaj o prihodima i rashodima, primicima i izdacima</w:t>
      </w:r>
    </w:p>
    <w:p w:rsidR="00E86B75" w:rsidRPr="00BE6DE5" w:rsidRDefault="00B71896" w:rsidP="00BE6DE5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1.</w:t>
      </w:r>
    </w:p>
    <w:tbl>
      <w:tblPr>
        <w:tblW w:w="9302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4"/>
        <w:gridCol w:w="3286"/>
        <w:gridCol w:w="724"/>
        <w:gridCol w:w="1922"/>
        <w:gridCol w:w="1922"/>
        <w:gridCol w:w="724"/>
      </w:tblGrid>
      <w:tr w:rsidR="00E86B75" w:rsidRPr="00BE6DE5" w:rsidTr="0081188D">
        <w:trPr>
          <w:cantSplit/>
          <w:trHeight w:val="963"/>
        </w:trPr>
        <w:tc>
          <w:tcPr>
            <w:tcW w:w="72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286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2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92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E6DE5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Ostvareno </w:t>
            </w:r>
            <w:r w:rsidR="00B71896"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u izvještajnom razdoblju prethodne godine</w:t>
            </w:r>
          </w:p>
        </w:tc>
        <w:tc>
          <w:tcPr>
            <w:tcW w:w="192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2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PRIHODI POSLOVANJA (šifre 61+62+63+64+65+66+67+68)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16.616.727,58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15.864.536,65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95,5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RASHODI POSLOVANJA (šifre 31+32+34+35+36+37+38)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10.754.676,69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14.177.335,00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131,8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VIŠAK PRIHODA POSLOVANJA (šifre 6-Z005)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X001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5.862.050,89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1.687.201,65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28,8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Prihodi od prodaje nefinancijske imovine (šifre 71+72+73+74)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215.994,94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346.396,66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160,4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Rashodi za nabavu nefinancijske imovine (šifre 41+42+43+44+45)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4.575.734,71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5.518.489,64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120,6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MANJAK PRIHODA OD NEFINANCIJSKE IMOVINE (šifre 4-7)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Y002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4.359.739,77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5.172.092,98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118,6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Primici od financijske imovine i zaduživanja (šifre 81+82+83+84+85)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900.000,00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2.599.999,99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288,9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Izdaci za financijsku imovinu i otplate zajmova (šifre 51+52+53+54+55)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707.527,34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293.551,05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41,5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VIŠAK PRIMITAKA OD FINANCIJSKE IMOVINE I ZADUŽIVANJA (šifre 8-5)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X003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192.472,66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2.306.448,94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1198,3</w:t>
            </w:r>
          </w:p>
        </w:tc>
      </w:tr>
      <w:tr w:rsidR="00E86B75" w:rsidRPr="00BE6DE5" w:rsidTr="0081188D">
        <w:trPr>
          <w:cantSplit/>
          <w:trHeight w:val="503"/>
        </w:trPr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MANJAK PRIHODA I PRIMITAKA (šifre Y345-X678)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Y005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0,00</w:t>
            </w:r>
          </w:p>
        </w:tc>
        <w:tc>
          <w:tcPr>
            <w:tcW w:w="1922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1.178.442,39</w:t>
            </w:r>
          </w:p>
        </w:tc>
        <w:tc>
          <w:tcPr>
            <w:tcW w:w="724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</w:tr>
    </w:tbl>
    <w:p w:rsidR="00BE6DE5" w:rsidRP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Dana 24. ožujka 2022. godine stupio je na snagu Pravilnik o financijskom izvještavanju u proračunskom računovodstvu (NN 37/2022). U čl. 8, st. 4 stoji da se Financijski izvještaji jedinica lokalne i područne (regionalne) samouprave sastoje se od:  – za proračunsku godinu: Bilance, Izvještaja o prihodima i rashodima, primicima i izdacima, Izvještaja o rashodima prema funkcijskoj klasifikaciji, Izvještaja o promjenama u vrijednosti i obujmu imovine i obveza, Izvještaja o obvezama i Bilješki  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U čl. 24, st. 4 stoji da jedinice lokalne i područne (regionalne) samouprave predaju financijske izvještaje iz članka 8. stavka 4. Pravilnika: – za proračunsku godinu do 15. veljače tekuće za prethodnu godinu.  Pravilnikom o izmjenama i dopunama Pravilnika o financijskom izvještavanju u proračunskom računovodstvu (NN 52/2025) uvedeni su izmijenjeni obrasci radi prilagodbe novom računskom planu temeljem Pravilnika o proračunskom računovodstvu i Računskom planu.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Općenito o Gradu Malom Lošinju: Grad Mali Lošinj formalno nastaje kao administrativna jedinica 1993. godine u sklopu novog teritorijalnog ustroja Republike Hrvatske, kada se odvaja od bivše općine Cres-Lošinj i postaje samostalan grad. Grad Mali Lošinj administrativno je središte zapadnog dijela Kvarnera ukupne površine 223 km², a obuhvaća južni dio otoka Cresa, od zaljeva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Koromačno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Ustrina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te otok Lošinj i skupinu manjih otoka: Unije, Ilovik, Susak, Male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Srakane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Vele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Srakane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 i niz nenaseljenih otočića.  Grad Mali Lošinj sastoji se od 14 naselja: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Belej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Ćunski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Ilovik, Male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Srakane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Mali Lošinj,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Nerezine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Osor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Punta Križa, Susak, Sveti Jakov, Unije,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Ustrine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, Vele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Srakane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 i Veli Lošinj. Mali Lošinj najveće je naselje na otoku i najveće naselje na svim Jadranskim otocima. Prema popisu stanovništva iz 2021. godine Grad Mali Lošinj ima 7.565 stanovnika. Na području Grada Malog Lošinja djeluje 11 mjesnih odbora. Proračunski korisnic</w:t>
      </w:r>
      <w:r w:rsidR="00BE6DE5" w:rsidRPr="00BE6DE5">
        <w:rPr>
          <w:rFonts w:asciiTheme="minorHAnsi" w:hAnsiTheme="minorHAnsi" w:cstheme="minorHAnsi"/>
          <w:sz w:val="22"/>
          <w:szCs w:val="22"/>
        </w:rPr>
        <w:t>i</w:t>
      </w:r>
      <w:r w:rsidRPr="00BE6DE5">
        <w:rPr>
          <w:rFonts w:asciiTheme="minorHAnsi" w:hAnsiTheme="minorHAnsi" w:cstheme="minorHAnsi"/>
          <w:sz w:val="22"/>
          <w:szCs w:val="22"/>
        </w:rPr>
        <w:t xml:space="preserve"> Grada Malog Lošinja su: 1. Dječji vrtić "Cvrčak" 2. Javna vatrogasna postrojba Grada Malog Lošinja 3. Lošinjski muzej 4. Pučko otvoreno učilište Mali Lošinj 5. Gradska knjižnica i čitaonica Mali Lošinj.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Ukupno ostvareni prihodi i primici 18.810.933,30 eura, ukupno rashodi i izdaci 19.989.375,69 eura čime dolazimo do manjka u ovoj godini od 1.178.442,39 eura.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Obzirom da je evidentiran preneseni višak od 1.657.494,66 eura, dolazimo do rezultata za 2025. godinu od 479.052,27 eura - Višak prihoda i primitaka raspoloživ u sljedećoj godini.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1.953.966,64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1.297.231,47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66,4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Odnosi se na Porez na promet nekretnina koji se smanjio</w:t>
      </w:r>
      <w:r w:rsidR="00BE6DE5">
        <w:rPr>
          <w:rFonts w:asciiTheme="minorHAnsi" w:hAnsiTheme="minorHAnsi" w:cstheme="minorHAnsi"/>
          <w:sz w:val="22"/>
          <w:szCs w:val="22"/>
        </w:rPr>
        <w:t xml:space="preserve"> u odnosu na isto razdoblje prošle godine</w:t>
      </w:r>
      <w:r w:rsidRPr="00BE6DE5">
        <w:rPr>
          <w:rFonts w:asciiTheme="minorHAnsi" w:hAnsiTheme="minorHAnsi" w:cstheme="minorHAnsi"/>
          <w:sz w:val="22"/>
          <w:szCs w:val="22"/>
        </w:rPr>
        <w:t xml:space="preserve"> radi smanjenog obujma prodaje nekretnina na području Grada Mali Lošinj.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15.614,48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150.888,00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966,3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Pomoć se odnosi na Dječji vrtić "Mrav"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1.186.224,69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6.791,75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Prošle godine ovdje su knjižene kapitalne donacije od Hrvatskih cesta za gradnju nogostupa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Ćunski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Kovčanje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>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25.788,56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47.226,15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183,1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Povećao se broj napl</w:t>
      </w:r>
      <w:r w:rsidR="00BE6DE5">
        <w:rPr>
          <w:rFonts w:asciiTheme="minorHAnsi" w:hAnsiTheme="minorHAnsi" w:cstheme="minorHAnsi"/>
          <w:sz w:val="22"/>
          <w:szCs w:val="22"/>
        </w:rPr>
        <w:t>aćenih kazni za parkiranje u odnosu na 2024. godinu.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824.755,30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983.371,39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119,2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2025.</w:t>
      </w:r>
      <w:r w:rsidR="00B71896" w:rsidRPr="00BE6DE5">
        <w:rPr>
          <w:rFonts w:asciiTheme="minorHAnsi" w:hAnsiTheme="minorHAnsi" w:cstheme="minorHAnsi"/>
          <w:sz w:val="22"/>
          <w:szCs w:val="22"/>
        </w:rPr>
        <w:t xml:space="preserve"> godine u travnju povećana je osnovica za obračun plaća službenika i namještenika Grada Mali Lošinj sa 619,09 na 650,04 eura. 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Također je došlo do povećanja koeficijenata za obračun plaća službenika i namještenika Grada Mali Lošinj </w:t>
      </w:r>
      <w:r w:rsidR="00BE6DE5">
        <w:rPr>
          <w:rFonts w:asciiTheme="minorHAnsi" w:hAnsiTheme="minorHAnsi" w:cstheme="minorHAnsi"/>
          <w:sz w:val="22"/>
          <w:szCs w:val="22"/>
        </w:rPr>
        <w:t>(</w:t>
      </w:r>
      <w:r w:rsidRPr="00BE6DE5">
        <w:rPr>
          <w:rFonts w:asciiTheme="minorHAnsi" w:hAnsiTheme="minorHAnsi" w:cstheme="minorHAnsi"/>
          <w:sz w:val="22"/>
          <w:szCs w:val="22"/>
        </w:rPr>
        <w:t>SN PGŽ-a 14/25 od 07. travnja 2025. godine</w:t>
      </w:r>
      <w:r w:rsidR="00BE6DE5">
        <w:rPr>
          <w:rFonts w:asciiTheme="minorHAnsi" w:hAnsiTheme="minorHAnsi" w:cstheme="minorHAnsi"/>
          <w:sz w:val="22"/>
          <w:szCs w:val="22"/>
        </w:rPr>
        <w:t>)</w:t>
      </w:r>
      <w:r w:rsidRPr="00BE6DE5">
        <w:rPr>
          <w:rFonts w:asciiTheme="minorHAnsi" w:hAnsiTheme="minorHAnsi" w:cstheme="minorHAnsi"/>
          <w:sz w:val="22"/>
          <w:szCs w:val="22"/>
        </w:rPr>
        <w:t>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1.006.974,36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1.227.006,19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121,9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Najvećim dijelom se odnosi na situacije održavanja javnih površina kao i na intervencije na javnim površinama.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45.276,23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81.364,84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179,7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Najvećim  dijelom odnosi se na usluge objave oglasa u Novom listu kao i službenom glasilu PGŽ-a.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13.835,95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68.616,26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495,9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Najveći trošak bio je najam kupole i šatora povodom adventa na trgu u Malom Lošinju.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445.643,35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559.541,77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125,6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Povećao se iznos sufinanciranja usluga zdravstvene zaštite na otoku.</w:t>
      </w:r>
    </w:p>
    <w:p w:rsid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52.751,78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119.979,62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227,4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Povećao se broj medicinskih djelatnika kojima se financira smještaj na područja Grada Mali </w:t>
      </w:r>
      <w:r w:rsidR="00BE6DE5">
        <w:rPr>
          <w:rFonts w:asciiTheme="minorHAnsi" w:hAnsiTheme="minorHAnsi" w:cstheme="minorHAnsi"/>
          <w:sz w:val="22"/>
          <w:szCs w:val="22"/>
        </w:rPr>
        <w:t>Lošinj u odnosu na 2024. godinu.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381.197,91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698.491,19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183,2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Najveći dio odnosi se na Troškove sudskih postupaka, razne manifestacije i pokroviteljstva.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105.002,16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391.909,00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373,2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2025.</w:t>
      </w:r>
      <w:r w:rsidR="00B71896" w:rsidRPr="00BE6DE5">
        <w:rPr>
          <w:rFonts w:asciiTheme="minorHAnsi" w:hAnsiTheme="minorHAnsi" w:cstheme="minorHAnsi"/>
          <w:sz w:val="22"/>
          <w:szCs w:val="22"/>
        </w:rPr>
        <w:t xml:space="preserve"> godine povećani su iznosi potpora poljoprivrednicima i poduzetnicima. </w:t>
      </w:r>
      <w:r>
        <w:rPr>
          <w:rFonts w:asciiTheme="minorHAnsi" w:hAnsiTheme="minorHAnsi" w:cstheme="minorHAnsi"/>
          <w:sz w:val="22"/>
          <w:szCs w:val="22"/>
        </w:rPr>
        <w:t>Također su uvedene</w:t>
      </w:r>
      <w:r w:rsidR="00B71896" w:rsidRPr="00BE6DE5">
        <w:rPr>
          <w:rFonts w:asciiTheme="minorHAnsi" w:hAnsiTheme="minorHAnsi" w:cstheme="minorHAnsi"/>
          <w:sz w:val="22"/>
          <w:szCs w:val="22"/>
        </w:rPr>
        <w:t xml:space="preserve"> i potpore privatnim iznajmljivačima za povrat dijela paušalnog poreza.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54.975,00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Odnosi se na plaćene usluge vezano za gradnju školske sportske dvorane  koja je u vlasništvu Primorsko - goranske županije.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470.251,43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794.001,57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168,8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Povećanje se odnosi na financiranje dopunskog zdravstvenog osiguranja svim umirovljenicima Grada Malog Lošinja.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753.647,91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1.027.000,05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136,3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Povećali su se iznosi dodijeljeni udrugama i sportskim klubovima kao i Turističkoj zajednici Grada za organizaciju manifestacija.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96.961,01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202,0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Povećale su se </w:t>
      </w:r>
      <w:r w:rsidR="00BE6DE5">
        <w:rPr>
          <w:rFonts w:asciiTheme="minorHAnsi" w:hAnsiTheme="minorHAnsi" w:cstheme="minorHAnsi"/>
          <w:sz w:val="22"/>
          <w:szCs w:val="22"/>
        </w:rPr>
        <w:t>donacije za obnovu zgrada crkvi u odnosu na 2024. godinu.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9.270,00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3722,9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Najveći dio odnosi se na klimatizacijske uređaje.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23.219,93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E6DE5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Nabavljeno je v</w:t>
      </w:r>
      <w:r w:rsidR="00B71896" w:rsidRPr="00BE6DE5">
        <w:rPr>
          <w:rFonts w:asciiTheme="minorHAnsi" w:hAnsiTheme="minorHAnsi" w:cstheme="minorHAnsi"/>
          <w:sz w:val="22"/>
          <w:szCs w:val="22"/>
        </w:rPr>
        <w:t>ozilo za potrebe komunalnog redarstva.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1.059.094,28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1.623.039,08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153,2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Ulaganja u poslovne i stambene objekte kao i u zgrade mjesnih odbora.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2.599.999,99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288,9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Odnosi se na kredit za izgradnju dječjeg vrtića "Mrav" i sanaciju zatvorenog odlagališta otpada "Kalvarija"</w:t>
      </w:r>
    </w:p>
    <w:p w:rsidR="00E86B75" w:rsidRDefault="00E86B7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Pr="00BE6DE5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81188D" w:rsidRDefault="00B71896" w:rsidP="0081188D">
      <w:pPr>
        <w:keepNext/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81188D">
        <w:rPr>
          <w:rFonts w:asciiTheme="minorHAnsi" w:hAnsiTheme="minorHAnsi" w:cstheme="minorHAnsi"/>
          <w:b/>
          <w:szCs w:val="24"/>
        </w:rPr>
        <w:lastRenderedPageBreak/>
        <w:t>Bilanca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26.942,86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471.067,59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1748,4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Evidentirano je nogometno igralište na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Čikatu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>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Dugotrajna nefinancijska imovina nabavljena iz operativnog najma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26.714,05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Evidentirana su d</w:t>
      </w:r>
      <w:r w:rsidR="00B71896" w:rsidRPr="00BE6DE5">
        <w:rPr>
          <w:rFonts w:asciiTheme="minorHAnsi" w:hAnsiTheme="minorHAnsi" w:cstheme="minorHAnsi"/>
          <w:sz w:val="22"/>
          <w:szCs w:val="22"/>
        </w:rPr>
        <w:t xml:space="preserve">va vozila koja se koriste na </w:t>
      </w:r>
      <w:proofErr w:type="spellStart"/>
      <w:r w:rsidR="00B71896" w:rsidRPr="00BE6DE5">
        <w:rPr>
          <w:rFonts w:asciiTheme="minorHAnsi" w:hAnsiTheme="minorHAnsi" w:cstheme="minorHAnsi"/>
          <w:sz w:val="22"/>
          <w:szCs w:val="22"/>
        </w:rPr>
        <w:t>leasing</w:t>
      </w:r>
      <w:proofErr w:type="spellEnd"/>
      <w:r w:rsidR="00B71896" w:rsidRPr="00BE6DE5">
        <w:rPr>
          <w:rFonts w:asciiTheme="minorHAnsi" w:hAnsiTheme="minorHAnsi" w:cstheme="minorHAnsi"/>
          <w:sz w:val="22"/>
          <w:szCs w:val="22"/>
        </w:rPr>
        <w:t>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1.749.200,00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Evidentirane </w:t>
      </w:r>
      <w:r w:rsidR="00B71896" w:rsidRPr="00BE6DE5">
        <w:rPr>
          <w:rFonts w:asciiTheme="minorHAnsi" w:hAnsiTheme="minorHAnsi" w:cstheme="minorHAnsi"/>
          <w:sz w:val="22"/>
          <w:szCs w:val="22"/>
        </w:rPr>
        <w:t>su izdane zadužnice i bjanko zadužnice.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2.331.985,31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2.878.330,95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123,4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Upravnom odjelu za financije i razvoj d</w:t>
      </w:r>
      <w:r w:rsidR="00B71896" w:rsidRPr="00BE6DE5">
        <w:rPr>
          <w:rFonts w:asciiTheme="minorHAnsi" w:hAnsiTheme="minorHAnsi" w:cstheme="minorHAnsi"/>
          <w:sz w:val="22"/>
          <w:szCs w:val="22"/>
        </w:rPr>
        <w:t>ostavljen je ažuriran popis</w:t>
      </w:r>
      <w:r>
        <w:rPr>
          <w:rFonts w:asciiTheme="minorHAnsi" w:hAnsiTheme="minorHAnsi" w:cstheme="minorHAnsi"/>
          <w:sz w:val="22"/>
          <w:szCs w:val="22"/>
        </w:rPr>
        <w:t xml:space="preserve"> sudskih sporova u tijeku, stoga se bilježi povećanje.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9.337.714,75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Evidentirani </w:t>
      </w:r>
      <w:r w:rsidR="00B71896" w:rsidRPr="00BE6DE5">
        <w:rPr>
          <w:rFonts w:asciiTheme="minorHAnsi" w:hAnsiTheme="minorHAnsi" w:cstheme="minorHAnsi"/>
          <w:sz w:val="22"/>
          <w:szCs w:val="22"/>
        </w:rPr>
        <w:t xml:space="preserve">su svi ugovori koji su aktivni na 31.12.2025., tj. postoji i dalje obveza </w:t>
      </w:r>
      <w:r>
        <w:rPr>
          <w:rFonts w:asciiTheme="minorHAnsi" w:hAnsiTheme="minorHAnsi" w:cstheme="minorHAnsi"/>
          <w:sz w:val="22"/>
          <w:szCs w:val="22"/>
        </w:rPr>
        <w:t xml:space="preserve">za plaćanje po tim ugovorima. </w:t>
      </w:r>
    </w:p>
    <w:p w:rsidR="00E86B75" w:rsidRPr="00BE6DE5" w:rsidRDefault="00E86B7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Default="00B71896" w:rsidP="0081188D">
      <w:pPr>
        <w:keepNext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1188D">
        <w:rPr>
          <w:rFonts w:asciiTheme="minorHAnsi" w:hAnsiTheme="minorHAnsi" w:cstheme="minorHAnsi"/>
          <w:b/>
          <w:szCs w:val="24"/>
        </w:rPr>
        <w:t>Izvještaj o rashodima prema funkcijskoj klasifikaciji</w:t>
      </w:r>
    </w:p>
    <w:p w:rsidR="0081188D" w:rsidRPr="0081188D" w:rsidRDefault="0081188D" w:rsidP="0081188D">
      <w:pPr>
        <w:keepNext/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135.268,76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398.353,75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294,5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Povećan iznos donacije prema Turističkoj zajednici. Uvedene potpore privatnim iznajmljivačima koji imaju prebivalište na području Grada Malog Lošinja kao povrat za povećanje paušalnog poreza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Gospodarenje otpadom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23.758,55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696.848,50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2933,0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Odnosi se na Sanaciju i zatvaranje deponija Kalvarija u najvećem dijelu.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217.463,11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399.731,81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183,8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B71896" w:rsidP="0081188D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Projekt Javna rasvjeta u naselju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Osor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BE6DE5">
        <w:rPr>
          <w:rFonts w:asciiTheme="minorHAnsi" w:hAnsiTheme="minorHAnsi" w:cstheme="minorHAnsi"/>
          <w:sz w:val="22"/>
          <w:szCs w:val="22"/>
        </w:rPr>
        <w:t>Nerezine</w:t>
      </w:r>
      <w:proofErr w:type="spellEnd"/>
      <w:r w:rsidRPr="00BE6DE5">
        <w:rPr>
          <w:rFonts w:asciiTheme="minorHAnsi" w:hAnsiTheme="minorHAnsi" w:cstheme="minorHAnsi"/>
          <w:sz w:val="22"/>
          <w:szCs w:val="22"/>
        </w:rPr>
        <w:t xml:space="preserve"> kao i rekonstrukcija javne rasvjete i njeno održavanje.</w:t>
      </w:r>
    </w:p>
    <w:p w:rsidR="0081188D" w:rsidRDefault="0081188D" w:rsidP="00811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811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811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811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88D" w:rsidRDefault="0081188D" w:rsidP="00811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81188D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076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Poslovi i usluge zdravstva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201.580,00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300.412,94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149,0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Naknade za smještaj medicinskih djelatnika kao i usluge liječnika specijalista.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Religijske i druge službe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96.961,01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745,9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Kapitalne donacije crkvi za obnovu zgrada crkvi.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289.763,60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1.666.104,06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575,0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Gradnja dječjeg vrtića "Mrav".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211.407,91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453.615,84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214,6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Povećanje radi uvođenja dopunskog zdravstvenog osiguranja za sve umirovljenike na području Grada Mali Lošinj.</w:t>
      </w:r>
    </w:p>
    <w:p w:rsidR="00E86B75" w:rsidRPr="00BE6DE5" w:rsidRDefault="00E86B7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81188D">
      <w:pPr>
        <w:keepNext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b/>
          <w:sz w:val="22"/>
          <w:szCs w:val="22"/>
        </w:rPr>
        <w:lastRenderedPageBreak/>
        <w:t>Promjene u vrijednosti i obujmu imovine i obveza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28,06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Rashodovanje imovine temeljem Odluke o rashodovanju i otpisu dugotrajne imovine KL:024-06/24-01/17</w:t>
      </w:r>
      <w:r w:rsidR="0081188D">
        <w:rPr>
          <w:rFonts w:asciiTheme="minorHAnsi" w:hAnsiTheme="minorHAnsi" w:cstheme="minorHAnsi"/>
          <w:sz w:val="22"/>
          <w:szCs w:val="22"/>
        </w:rPr>
        <w:t>.</w:t>
      </w:r>
    </w:p>
    <w:p w:rsidR="00E86B75" w:rsidRPr="00BE6DE5" w:rsidRDefault="00E86B75" w:rsidP="0081188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81188D">
      <w:pPr>
        <w:keepNext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b/>
          <w:sz w:val="22"/>
          <w:szCs w:val="22"/>
        </w:rPr>
        <w:t>Izvještaj o obvezama</w:t>
      </w:r>
    </w:p>
    <w:p w:rsidR="00E86B75" w:rsidRPr="00BE6DE5" w:rsidRDefault="00B71896" w:rsidP="00BE6DE5">
      <w:pPr>
        <w:keepNext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86B75" w:rsidRPr="00BE6D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rač</w:t>
            </w:r>
            <w:proofErr w:type="spellEnd"/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b/>
                <w:sz w:val="22"/>
                <w:szCs w:val="22"/>
              </w:rPr>
              <w:t>Indeks (%)</w:t>
            </w:r>
          </w:p>
        </w:tc>
      </w:tr>
      <w:tr w:rsidR="00E86B75" w:rsidRPr="00BE6D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E86B75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666.725,24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6B75" w:rsidRPr="00BE6DE5" w:rsidRDefault="00B71896" w:rsidP="00BE6DE5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D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E86B75" w:rsidRPr="00BE6DE5" w:rsidRDefault="00E86B75" w:rsidP="00BE6DE5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Dospjele obveze odnose se najvećim dijelom na obveze za nabavu nefinancijske imovine, čak 60,29 %.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Manji dio se odnosi na </w:t>
      </w:r>
      <w:r w:rsidR="0081188D">
        <w:rPr>
          <w:rFonts w:asciiTheme="minorHAnsi" w:hAnsiTheme="minorHAnsi" w:cstheme="minorHAnsi"/>
          <w:sz w:val="22"/>
          <w:szCs w:val="22"/>
        </w:rPr>
        <w:t xml:space="preserve">projektnu dokumentaciju </w:t>
      </w:r>
      <w:r w:rsidRPr="00BE6DE5">
        <w:rPr>
          <w:rFonts w:asciiTheme="minorHAnsi" w:hAnsiTheme="minorHAnsi" w:cstheme="minorHAnsi"/>
          <w:sz w:val="22"/>
          <w:szCs w:val="22"/>
        </w:rPr>
        <w:t>te dodatna ulaganja u objekte, računi koji su primljeni u prosincu i podmireni u siječnju.</w:t>
      </w:r>
    </w:p>
    <w:p w:rsidR="00E86B75" w:rsidRPr="00BE6DE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 xml:space="preserve">Najveći dio se odnosi na obveze za "ostale građevinske objekte" - tu spada građevinska situacija za gradnju dječjeg vrtića "Mrav" te situacija za sanaciju zatvorenog odlagališta otpada Kalvarija koje </w:t>
      </w:r>
      <w:r w:rsidR="0081188D">
        <w:rPr>
          <w:rFonts w:asciiTheme="minorHAnsi" w:hAnsiTheme="minorHAnsi" w:cstheme="minorHAnsi"/>
          <w:sz w:val="22"/>
          <w:szCs w:val="22"/>
        </w:rPr>
        <w:t>s</w:t>
      </w:r>
      <w:r w:rsidRPr="00BE6DE5">
        <w:rPr>
          <w:rFonts w:asciiTheme="minorHAnsi" w:hAnsiTheme="minorHAnsi" w:cstheme="minorHAnsi"/>
          <w:sz w:val="22"/>
          <w:szCs w:val="22"/>
        </w:rPr>
        <w:t>u dospjele 30.12.2025. i plaćenu su u siječnju.</w:t>
      </w:r>
    </w:p>
    <w:p w:rsidR="00E86B75" w:rsidRDefault="00B71896" w:rsidP="00BE6DE5">
      <w:pPr>
        <w:jc w:val="both"/>
        <w:rPr>
          <w:rFonts w:asciiTheme="minorHAnsi" w:hAnsiTheme="minorHAnsi" w:cstheme="minorHAnsi"/>
          <w:sz w:val="22"/>
          <w:szCs w:val="22"/>
        </w:rPr>
      </w:pPr>
      <w:r w:rsidRPr="00BE6DE5">
        <w:rPr>
          <w:rFonts w:asciiTheme="minorHAnsi" w:hAnsiTheme="minorHAnsi" w:cstheme="minorHAnsi"/>
          <w:sz w:val="22"/>
          <w:szCs w:val="22"/>
        </w:rPr>
        <w:t>Ostatak koji se odnosi na Dospjele obveze za rashode poslovanja najvećim dijelom odnose se na "Usluge tekućeg i investicijskog održavanja" a konkretno na situacije održavanja javnih površina, održa</w:t>
      </w:r>
      <w:r w:rsidR="00E67295">
        <w:rPr>
          <w:rFonts w:asciiTheme="minorHAnsi" w:hAnsiTheme="minorHAnsi" w:cstheme="minorHAnsi"/>
          <w:sz w:val="22"/>
          <w:szCs w:val="22"/>
        </w:rPr>
        <w:t>vanja nerazvrstanih cesta i puto</w:t>
      </w:r>
      <w:r w:rsidRPr="00BE6DE5">
        <w:rPr>
          <w:rFonts w:asciiTheme="minorHAnsi" w:hAnsiTheme="minorHAnsi" w:cstheme="minorHAnsi"/>
          <w:sz w:val="22"/>
          <w:szCs w:val="22"/>
        </w:rPr>
        <w:t>va i održavanja građevinskih u</w:t>
      </w:r>
      <w:r w:rsidR="0081188D">
        <w:rPr>
          <w:rFonts w:asciiTheme="minorHAnsi" w:hAnsiTheme="minorHAnsi" w:cstheme="minorHAnsi"/>
          <w:sz w:val="22"/>
          <w:szCs w:val="22"/>
        </w:rPr>
        <w:t>ređaja i opreme javne namjene.</w:t>
      </w:r>
    </w:p>
    <w:p w:rsidR="0081188D" w:rsidRDefault="0081188D" w:rsidP="00BE6DE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86B75" w:rsidRPr="00BE6DE5" w:rsidRDefault="00E86B75" w:rsidP="00BE6DE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86B75" w:rsidRPr="00BE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B75"/>
    <w:rsid w:val="0081188D"/>
    <w:rsid w:val="00B71896"/>
    <w:rsid w:val="00BE6DE5"/>
    <w:rsid w:val="00D336B0"/>
    <w:rsid w:val="00E67295"/>
    <w:rsid w:val="00E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Darija Pino</cp:lastModifiedBy>
  <cp:revision>6</cp:revision>
  <cp:lastPrinted>2026-02-16T07:52:00Z</cp:lastPrinted>
  <dcterms:created xsi:type="dcterms:W3CDTF">2026-02-13T13:52:00Z</dcterms:created>
  <dcterms:modified xsi:type="dcterms:W3CDTF">2026-02-16T07:54:00Z</dcterms:modified>
</cp:coreProperties>
</file>