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rPr/>
      </w:pPr>
      <w:r>
        <w:rPr/>
      </w:r>
    </w:p>
    <w:p>
      <w:pPr>
        <w:pStyle w:val="Normal"/>
        <w:bidi w:val="0"/>
        <w:rPr/>
      </w:pPr>
      <w:r>
        <w:rPr/>
      </w:r>
    </w:p>
    <w:p>
      <w:pPr>
        <w:pStyle w:val="Normal"/>
        <w:bidi w:val="0"/>
        <w:rPr/>
      </w:pPr>
      <w:r>
        <w:rPr/>
      </w:r>
    </w:p>
    <w:tbl>
      <w:tblPr>
        <w:tblW w:w="5000" w:type="pct"/>
        <w:jc w:val="start"/>
        <w:tblInd w:w="0" w:type="dxa"/>
        <w:tblLayout w:type="fixed"/>
        <w:tblCellMar>
          <w:top w:w="0" w:type="dxa"/>
          <w:start w:w="30" w:type="dxa"/>
          <w:bottom w:w="0" w:type="dxa"/>
          <w:end w:w="30" w:type="dxa"/>
        </w:tblCellMar>
      </w:tblPr>
      <w:tblGrid>
        <w:gridCol w:w="9638"/>
      </w:tblGrid>
      <w:tr>
        <w:trPr>
          <w:trHeight w:val="583" w:hRule="atLeast"/>
        </w:trPr>
        <w:tc>
          <w:tcPr>
            <w:tcW w:w="9638" w:type="dxa"/>
            <w:tcBorders/>
            <w:vAlign w:val="bottom"/>
          </w:tcPr>
          <w:p>
            <w:pPr>
              <w:pStyle w:val="Normal"/>
              <w:tabs>
                <w:tab w:val="clear" w:pos="709"/>
              </w:tabs>
              <w:bidi w:val="0"/>
              <w:jc w:val="center"/>
              <w:rPr>
                <w:rFonts w:ascii="Arial" w:hAnsi="Arial"/>
                <w:sz w:val="48"/>
              </w:rPr>
            </w:pPr>
            <w:r>
              <w:rPr>
                <w:rFonts w:ascii="Arial" w:hAnsi="Arial"/>
                <w:sz w:val="22"/>
                <w:szCs w:val="22"/>
              </w:rPr>
              <w:t xml:space="preserve">IZVJEŠĆE PROVEDENO S JAVNOG SAVJETOVANJA PRAVILNIKA O IZMIJENI I DOPUNI PRAVILNIKA </w:t>
            </w:r>
          </w:p>
        </w:tc>
      </w:tr>
      <w:tr>
        <w:trPr>
          <w:trHeight w:val="583" w:hRule="atLeast"/>
        </w:trPr>
        <w:tc>
          <w:tcPr>
            <w:tcW w:w="9638" w:type="dxa"/>
            <w:tcBorders/>
            <w:vAlign w:val="bottom"/>
          </w:tcPr>
          <w:p>
            <w:pPr>
              <w:pStyle w:val="Normal"/>
              <w:tabs>
                <w:tab w:val="clear" w:pos="709"/>
              </w:tabs>
              <w:bidi w:val="0"/>
              <w:jc w:val="center"/>
              <w:rPr>
                <w:rFonts w:ascii="Arial" w:hAnsi="Arial"/>
                <w:sz w:val="48"/>
              </w:rPr>
            </w:pPr>
            <w:r>
              <w:rPr>
                <w:rFonts w:ascii="Arial" w:hAnsi="Arial"/>
                <w:sz w:val="22"/>
                <w:szCs w:val="22"/>
              </w:rPr>
              <w:t>O PROVEDBI POSTUPKA JEDNOSTAVNE NABAVE</w:t>
            </w:r>
          </w:p>
        </w:tc>
      </w:tr>
      <w:tr>
        <w:trPr>
          <w:trHeight w:val="583" w:hRule="atLeast"/>
        </w:trPr>
        <w:tc>
          <w:tcPr>
            <w:tcW w:w="9638" w:type="dxa"/>
            <w:tcBorders/>
            <w:vAlign w:val="bottom"/>
          </w:tcPr>
          <w:p>
            <w:pPr>
              <w:pStyle w:val="Normal"/>
              <w:tabs>
                <w:tab w:val="clear" w:pos="709"/>
              </w:tabs>
              <w:bidi w:val="0"/>
              <w:jc w:val="center"/>
              <w:rPr>
                <w:rFonts w:ascii="Arial" w:hAnsi="Arial"/>
                <w:sz w:val="48"/>
              </w:rPr>
            </w:pPr>
            <w:r>
              <w:rPr>
                <w:rFonts w:ascii="Arial" w:hAnsi="Arial"/>
                <w:sz w:val="22"/>
                <w:szCs w:val="22"/>
              </w:rPr>
              <w:t>(OD 24.07.2026.-24.08.2026.)</w:t>
            </w:r>
          </w:p>
        </w:tc>
      </w:tr>
    </w:tbl>
    <w:p>
      <w:pPr>
        <w:pStyle w:val="Normal"/>
        <w:bidi w:val="0"/>
        <w:rPr/>
      </w:pPr>
      <w:r>
        <w:rPr/>
      </w:r>
    </w:p>
    <w:p>
      <w:pPr>
        <w:pStyle w:val="Normal"/>
        <w:bidi w:val="0"/>
        <w:rPr/>
      </w:pPr>
      <w:r>
        <w:rPr/>
      </w:r>
    </w:p>
    <w:tbl>
      <w:tblPr>
        <w:tblW w:w="5000" w:type="pct"/>
        <w:jc w:val="start"/>
        <w:tblInd w:w="55" w:type="dxa"/>
        <w:tblLayout w:type="fixed"/>
        <w:tblCellMar>
          <w:top w:w="55" w:type="dxa"/>
          <w:start w:w="55" w:type="dxa"/>
          <w:bottom w:w="55" w:type="dxa"/>
          <w:end w:w="55" w:type="dxa"/>
        </w:tblCellMar>
      </w:tblPr>
      <w:tblGrid>
        <w:gridCol w:w="562"/>
        <w:gridCol w:w="1119"/>
        <w:gridCol w:w="1586"/>
        <w:gridCol w:w="1082"/>
        <w:gridCol w:w="2171"/>
        <w:gridCol w:w="3118"/>
      </w:tblGrid>
      <w:tr>
        <w:trPr/>
        <w:tc>
          <w:tcPr>
            <w:tcW w:w="562" w:type="dxa"/>
            <w:tcBorders>
              <w:top w:val="single" w:sz="4" w:space="0" w:color="000000"/>
              <w:start w:val="single" w:sz="4" w:space="0" w:color="000000"/>
              <w:bottom w:val="single" w:sz="4" w:space="0" w:color="000000"/>
            </w:tcBorders>
          </w:tcPr>
          <w:p>
            <w:pPr>
              <w:pStyle w:val="Sadrajitablice"/>
              <w:widowControl w:val="false"/>
              <w:suppressLineNumbers/>
              <w:bidi w:val="0"/>
              <w:rPr/>
            </w:pPr>
            <w:r>
              <w:rPr/>
              <w:t>RB.</w:t>
            </w:r>
          </w:p>
        </w:tc>
        <w:tc>
          <w:tcPr>
            <w:tcW w:w="1119" w:type="dxa"/>
            <w:tcBorders>
              <w:top w:val="single" w:sz="4" w:space="0" w:color="000000"/>
              <w:start w:val="single" w:sz="4" w:space="0" w:color="000000"/>
              <w:bottom w:val="single" w:sz="4" w:space="0" w:color="000000"/>
            </w:tcBorders>
          </w:tcPr>
          <w:p>
            <w:pPr>
              <w:pStyle w:val="Sadrajitablice"/>
              <w:widowControl w:val="false"/>
              <w:suppressLineNumbers/>
              <w:bidi w:val="0"/>
              <w:rPr/>
            </w:pPr>
            <w:r>
              <w:rPr/>
              <w:t>DATUM</w:t>
            </w:r>
          </w:p>
        </w:tc>
        <w:tc>
          <w:tcPr>
            <w:tcW w:w="1586" w:type="dxa"/>
            <w:tcBorders>
              <w:top w:val="single" w:sz="4" w:space="0" w:color="000000"/>
              <w:start w:val="single" w:sz="4" w:space="0" w:color="000000"/>
              <w:bottom w:val="single" w:sz="4" w:space="0" w:color="000000"/>
            </w:tcBorders>
          </w:tcPr>
          <w:p>
            <w:pPr>
              <w:pStyle w:val="Sadrajitablice"/>
              <w:widowControl w:val="false"/>
              <w:suppressLineNumbers/>
              <w:bidi w:val="0"/>
              <w:rPr/>
            </w:pPr>
            <w:r>
              <w:rPr/>
              <w:t>NAZIV IME I PREZIME</w:t>
            </w:r>
          </w:p>
        </w:tc>
        <w:tc>
          <w:tcPr>
            <w:tcW w:w="1082" w:type="dxa"/>
            <w:tcBorders>
              <w:top w:val="single" w:sz="4" w:space="0" w:color="000000"/>
              <w:start w:val="single" w:sz="4" w:space="0" w:color="000000"/>
              <w:bottom w:val="single" w:sz="4" w:space="0" w:color="000000"/>
            </w:tcBorders>
          </w:tcPr>
          <w:p>
            <w:pPr>
              <w:pStyle w:val="Sadrajitablice"/>
              <w:widowControl w:val="false"/>
              <w:suppressLineNumbers/>
              <w:bidi w:val="0"/>
              <w:rPr/>
            </w:pPr>
            <w:r>
              <w:rPr/>
              <w:t>E MAIL ADRESA</w:t>
            </w:r>
          </w:p>
        </w:tc>
        <w:tc>
          <w:tcPr>
            <w:tcW w:w="2171" w:type="dxa"/>
            <w:tcBorders>
              <w:top w:val="single" w:sz="4" w:space="0" w:color="000000"/>
              <w:start w:val="single" w:sz="4" w:space="0" w:color="000000"/>
              <w:bottom w:val="single" w:sz="4" w:space="0" w:color="000000"/>
            </w:tcBorders>
          </w:tcPr>
          <w:p>
            <w:pPr>
              <w:pStyle w:val="Sadrajitablice"/>
              <w:widowControl w:val="false"/>
              <w:suppressLineNumbers/>
              <w:bidi w:val="0"/>
              <w:rPr/>
            </w:pPr>
            <w:r>
              <w:rPr/>
              <w:t>PRIMJEDBA / PRIJEDLOG</w:t>
            </w:r>
          </w:p>
        </w:tc>
        <w:tc>
          <w:tcPr>
            <w:tcW w:w="3118" w:type="dxa"/>
            <w:tcBorders>
              <w:top w:val="single" w:sz="4" w:space="0" w:color="000000"/>
              <w:start w:val="single" w:sz="4" w:space="0" w:color="000000"/>
              <w:bottom w:val="single" w:sz="4" w:space="0" w:color="000000"/>
              <w:end w:val="single" w:sz="4" w:space="0" w:color="000000"/>
            </w:tcBorders>
          </w:tcPr>
          <w:p>
            <w:pPr>
              <w:pStyle w:val="Sadrajitablice"/>
              <w:widowControl w:val="false"/>
              <w:suppressLineNumbers/>
              <w:bidi w:val="0"/>
              <w:rPr/>
            </w:pPr>
            <w:r>
              <w:rPr/>
              <w:t>ODGOVOR NAPOMENA</w:t>
            </w:r>
          </w:p>
        </w:tc>
      </w:tr>
      <w:tr>
        <w:trPr/>
        <w:tc>
          <w:tcPr>
            <w:tcW w:w="562" w:type="dxa"/>
            <w:tcBorders>
              <w:start w:val="single" w:sz="4" w:space="0" w:color="000000"/>
              <w:bottom w:val="single" w:sz="4" w:space="0" w:color="000000"/>
            </w:tcBorders>
          </w:tcPr>
          <w:p>
            <w:pPr>
              <w:pStyle w:val="Sadrajitablice"/>
              <w:widowControl w:val="false"/>
              <w:suppressLineNumbers/>
              <w:bidi w:val="0"/>
              <w:rPr/>
            </w:pPr>
            <w:r>
              <w:rPr/>
              <w:t>1.</w:t>
            </w:r>
          </w:p>
        </w:tc>
        <w:tc>
          <w:tcPr>
            <w:tcW w:w="1119" w:type="dxa"/>
            <w:tcBorders>
              <w:start w:val="single" w:sz="4" w:space="0" w:color="000000"/>
              <w:bottom w:val="single" w:sz="4" w:space="0" w:color="000000"/>
            </w:tcBorders>
          </w:tcPr>
          <w:p>
            <w:pPr>
              <w:pStyle w:val="Sadrajitablice"/>
              <w:widowControl w:val="false"/>
              <w:suppressLineNumbers/>
              <w:bidi w:val="0"/>
              <w:rPr/>
            </w:pPr>
            <w:r>
              <w:rPr/>
              <w:t>27.07.26</w:t>
            </w:r>
          </w:p>
        </w:tc>
        <w:tc>
          <w:tcPr>
            <w:tcW w:w="1586" w:type="dxa"/>
            <w:tcBorders>
              <w:start w:val="single" w:sz="4" w:space="0" w:color="000000"/>
              <w:bottom w:val="single" w:sz="4" w:space="0" w:color="000000"/>
            </w:tcBorders>
          </w:tcPr>
          <w:p>
            <w:pPr>
              <w:pStyle w:val="Sadrajitablice"/>
              <w:widowControl w:val="false"/>
              <w:suppressLineNumbers/>
              <w:bidi w:val="0"/>
              <w:rPr/>
            </w:pPr>
            <w:r>
              <w:rPr/>
              <w:t>MOŽEMO!</w:t>
            </w:r>
          </w:p>
        </w:tc>
        <w:tc>
          <w:tcPr>
            <w:tcW w:w="1082" w:type="dxa"/>
            <w:tcBorders>
              <w:start w:val="single" w:sz="4" w:space="0" w:color="000000"/>
              <w:bottom w:val="single" w:sz="4" w:space="0" w:color="000000"/>
            </w:tcBorders>
          </w:tcPr>
          <w:p>
            <w:pPr>
              <w:pStyle w:val="Sadrajitablice"/>
              <w:widowControl w:val="false"/>
              <w:suppressLineNumbers/>
              <w:bidi w:val="0"/>
              <w:rPr/>
            </w:pPr>
            <w:r>
              <w:rPr/>
            </w:r>
          </w:p>
        </w:tc>
        <w:tc>
          <w:tcPr>
            <w:tcW w:w="2171" w:type="dxa"/>
            <w:tcBorders>
              <w:start w:val="single" w:sz="4" w:space="0" w:color="000000"/>
              <w:bottom w:val="single" w:sz="4" w:space="0" w:color="000000"/>
            </w:tcBorders>
          </w:tcPr>
          <w:p>
            <w:pPr>
              <w:pStyle w:val="Sadrajitablice"/>
              <w:widowControl w:val="false"/>
              <w:suppressLineNumbers/>
              <w:bidi w:val="0"/>
              <w:rPr/>
            </w:pPr>
            <w:r>
              <w:rPr/>
              <w:t>U registar ugovora i/ili plan nabave uvrstiti i nabave ispod 5.000 €, barem zbirno (broj postupaka, ukupna vrijednost, popis dobavljača po razdoblju).</w:t>
            </w:r>
          </w:p>
        </w:tc>
        <w:tc>
          <w:tcPr>
            <w:tcW w:w="3118" w:type="dxa"/>
            <w:tcBorders>
              <w:start w:val="single" w:sz="4" w:space="0" w:color="000000"/>
              <w:bottom w:val="single" w:sz="4" w:space="0" w:color="000000"/>
              <w:end w:val="single" w:sz="4" w:space="0" w:color="000000"/>
            </w:tcBorders>
          </w:tcPr>
          <w:p>
            <w:pPr>
              <w:pStyle w:val="Sadrajitablice"/>
              <w:widowControl w:val="false"/>
              <w:suppressLineNumbers/>
              <w:bidi w:val="0"/>
              <w:rPr/>
            </w:pPr>
            <w:r>
              <w:rPr/>
              <w:t>Ne prihvaća se, sukladno članku 28.ZJN. U registar ugovora navode se svi predmeti nabave, čija je vrijednost jednaka ili veća od 5.000,00 eura  U statističkom izvještaju koji se mora napraviti do 31.03. za prethodnu godinu moraju se unijete zbirno sve narudžbenice u iznosu do 5.000,00 eura.</w:t>
            </w:r>
          </w:p>
        </w:tc>
      </w:tr>
      <w:tr>
        <w:trPr/>
        <w:tc>
          <w:tcPr>
            <w:tcW w:w="562" w:type="dxa"/>
            <w:tcBorders>
              <w:start w:val="single" w:sz="4" w:space="0" w:color="000000"/>
              <w:bottom w:val="single" w:sz="4" w:space="0" w:color="000000"/>
            </w:tcBorders>
          </w:tcPr>
          <w:p>
            <w:pPr>
              <w:pStyle w:val="Sadrajitablice"/>
              <w:widowControl w:val="false"/>
              <w:suppressLineNumbers/>
              <w:bidi w:val="0"/>
              <w:rPr/>
            </w:pPr>
            <w:r>
              <w:rPr/>
              <w:t>2.</w:t>
            </w:r>
          </w:p>
        </w:tc>
        <w:tc>
          <w:tcPr>
            <w:tcW w:w="1119" w:type="dxa"/>
            <w:tcBorders>
              <w:start w:val="single" w:sz="4" w:space="0" w:color="000000"/>
              <w:bottom w:val="single" w:sz="4" w:space="0" w:color="000000"/>
            </w:tcBorders>
          </w:tcPr>
          <w:p>
            <w:pPr>
              <w:pStyle w:val="Sadrajitablice"/>
              <w:widowControl w:val="false"/>
              <w:suppressLineNumbers/>
              <w:bidi w:val="0"/>
              <w:rPr/>
            </w:pPr>
            <w:r>
              <w:rPr/>
              <w:t>27.07.26</w:t>
            </w:r>
          </w:p>
        </w:tc>
        <w:tc>
          <w:tcPr>
            <w:tcW w:w="1586" w:type="dxa"/>
            <w:tcBorders>
              <w:start w:val="single" w:sz="4" w:space="0" w:color="000000"/>
              <w:bottom w:val="single" w:sz="4" w:space="0" w:color="000000"/>
            </w:tcBorders>
          </w:tcPr>
          <w:p>
            <w:pPr>
              <w:pStyle w:val="Sadrajitablice"/>
              <w:widowControl w:val="false"/>
              <w:suppressLineNumbers/>
              <w:bidi w:val="0"/>
              <w:rPr/>
            </w:pPr>
            <w:r>
              <w:rPr/>
              <w:t>MOŽEMO!</w:t>
            </w:r>
          </w:p>
        </w:tc>
        <w:tc>
          <w:tcPr>
            <w:tcW w:w="1082" w:type="dxa"/>
            <w:tcBorders>
              <w:start w:val="single" w:sz="4" w:space="0" w:color="000000"/>
              <w:bottom w:val="single" w:sz="4" w:space="0" w:color="000000"/>
            </w:tcBorders>
          </w:tcPr>
          <w:p>
            <w:pPr>
              <w:pStyle w:val="Sadrajitablice"/>
              <w:widowControl w:val="false"/>
              <w:suppressLineNumbers/>
              <w:bidi w:val="0"/>
              <w:rPr/>
            </w:pPr>
            <w:r>
              <w:rPr/>
            </w:r>
          </w:p>
        </w:tc>
        <w:tc>
          <w:tcPr>
            <w:tcW w:w="2171" w:type="dxa"/>
            <w:tcBorders>
              <w:start w:val="single" w:sz="4" w:space="0" w:color="000000"/>
              <w:bottom w:val="single" w:sz="4" w:space="0" w:color="000000"/>
            </w:tcBorders>
          </w:tcPr>
          <w:p>
            <w:pPr>
              <w:pStyle w:val="Sadrajitablice"/>
              <w:widowControl w:val="false"/>
              <w:suppressLineNumbers/>
              <w:bidi w:val="0"/>
              <w:rPr/>
            </w:pPr>
            <w:r>
              <w:rPr/>
              <w:t>Propisati obvezu pribavljanja najmanje dvije usporedive ponude za nabave iznad 5.000 €, uz mogućnost odstupanja isključivo uz pisano obrazloženje o nepostojanju dovoljnog broja ponuditelja na tržištu.</w:t>
            </w:r>
          </w:p>
        </w:tc>
        <w:tc>
          <w:tcPr>
            <w:tcW w:w="3118" w:type="dxa"/>
            <w:tcBorders>
              <w:start w:val="single" w:sz="4" w:space="0" w:color="000000"/>
              <w:bottom w:val="single" w:sz="4" w:space="0" w:color="000000"/>
              <w:end w:val="single" w:sz="4" w:space="0" w:color="000000"/>
            </w:tcBorders>
          </w:tcPr>
          <w:p>
            <w:pPr>
              <w:pStyle w:val="Sadrajitablice"/>
              <w:widowControl w:val="false"/>
              <w:suppressLineNumbers/>
              <w:bidi w:val="0"/>
              <w:rPr/>
            </w:pPr>
            <w:r>
              <w:rPr/>
              <w:t>Prihvaća se</w:t>
            </w:r>
          </w:p>
        </w:tc>
      </w:tr>
      <w:tr>
        <w:trPr/>
        <w:tc>
          <w:tcPr>
            <w:tcW w:w="562" w:type="dxa"/>
            <w:tcBorders>
              <w:start w:val="single" w:sz="4" w:space="0" w:color="000000"/>
              <w:bottom w:val="single" w:sz="4" w:space="0" w:color="000000"/>
            </w:tcBorders>
          </w:tcPr>
          <w:p>
            <w:pPr>
              <w:pStyle w:val="Sadrajitablice"/>
              <w:widowControl w:val="false"/>
              <w:suppressLineNumbers/>
              <w:bidi w:val="0"/>
              <w:rPr/>
            </w:pPr>
            <w:r>
              <w:rPr/>
              <w:t>3.</w:t>
            </w:r>
          </w:p>
        </w:tc>
        <w:tc>
          <w:tcPr>
            <w:tcW w:w="1119" w:type="dxa"/>
            <w:tcBorders>
              <w:start w:val="single" w:sz="4" w:space="0" w:color="000000"/>
              <w:bottom w:val="single" w:sz="4" w:space="0" w:color="000000"/>
            </w:tcBorders>
          </w:tcPr>
          <w:p>
            <w:pPr>
              <w:pStyle w:val="Sadrajitablice"/>
              <w:widowControl w:val="false"/>
              <w:suppressLineNumbers/>
              <w:bidi w:val="0"/>
              <w:rPr/>
            </w:pPr>
            <w:r>
              <w:rPr/>
              <w:t>27.07.26</w:t>
            </w:r>
          </w:p>
        </w:tc>
        <w:tc>
          <w:tcPr>
            <w:tcW w:w="1586" w:type="dxa"/>
            <w:tcBorders>
              <w:start w:val="single" w:sz="4" w:space="0" w:color="000000"/>
              <w:bottom w:val="single" w:sz="4" w:space="0" w:color="000000"/>
            </w:tcBorders>
          </w:tcPr>
          <w:p>
            <w:pPr>
              <w:pStyle w:val="Sadrajitablice"/>
              <w:widowControl w:val="false"/>
              <w:suppressLineNumbers/>
              <w:bidi w:val="0"/>
              <w:rPr/>
            </w:pPr>
            <w:r>
              <w:rPr/>
              <w:t>MOŽEMO!</w:t>
            </w:r>
          </w:p>
        </w:tc>
        <w:tc>
          <w:tcPr>
            <w:tcW w:w="1082" w:type="dxa"/>
            <w:tcBorders>
              <w:start w:val="single" w:sz="4" w:space="0" w:color="000000"/>
              <w:bottom w:val="single" w:sz="4" w:space="0" w:color="000000"/>
            </w:tcBorders>
          </w:tcPr>
          <w:p>
            <w:pPr>
              <w:pStyle w:val="Sadrajitablice"/>
              <w:widowControl w:val="false"/>
              <w:suppressLineNumbers/>
              <w:bidi w:val="0"/>
              <w:rPr/>
            </w:pPr>
            <w:r>
              <w:rPr/>
            </w:r>
          </w:p>
        </w:tc>
        <w:tc>
          <w:tcPr>
            <w:tcW w:w="2171" w:type="dxa"/>
            <w:tcBorders>
              <w:start w:val="single" w:sz="4" w:space="0" w:color="000000"/>
              <w:bottom w:val="single" w:sz="4" w:space="0" w:color="000000"/>
            </w:tcBorders>
          </w:tcPr>
          <w:p>
            <w:pPr>
              <w:pStyle w:val="Sadrajitablice"/>
              <w:widowControl w:val="false"/>
              <w:suppressLineNumbers/>
              <w:bidi w:val="0"/>
              <w:rPr/>
            </w:pPr>
            <w:r>
              <w:rPr/>
              <w:t>Propisati obvezu javne objave poziva u modulu jednostavne nabave EOJN RH i za ovaj razred vrijednosti (15.000–25.000 €/45.000 €), uz mogućnost dodatnog izravnog upućivanja poziva poznatim subjektima kao dopunu.</w:t>
            </w:r>
          </w:p>
        </w:tc>
        <w:tc>
          <w:tcPr>
            <w:tcW w:w="3118" w:type="dxa"/>
            <w:tcBorders>
              <w:start w:val="single" w:sz="4" w:space="0" w:color="000000"/>
              <w:bottom w:val="single" w:sz="4" w:space="0" w:color="000000"/>
              <w:end w:val="single" w:sz="4" w:space="0" w:color="000000"/>
            </w:tcBorders>
          </w:tcPr>
          <w:p>
            <w:pPr>
              <w:pStyle w:val="Sadrajitablice"/>
              <w:widowControl w:val="false"/>
              <w:suppressLineNumbers/>
              <w:bidi w:val="0"/>
              <w:rPr/>
            </w:pPr>
            <w:r>
              <w:rPr/>
              <w:t>Ne prihvaća se, sukladno Ministarstva gospodarstva; Uprave za politiku javne nabave koje u točki 4.2 Smjernica za provedbu postupka jednostavne nabave v2.0  iz srpnja 2026. navode: Jednostavna nabava za procijenjenu vrijednost veću od 15.000 eur naručitelj odabire jednog ili više gospodarskih subjekata kojima upućuje poziv na dostavu ponuda. Poziv se upućuje isključivo putem sustava EOJN RH gospodarskim subjektima koji su registrirani u sustavu EOJN RH.</w:t>
            </w:r>
          </w:p>
        </w:tc>
      </w:tr>
      <w:tr>
        <w:trPr/>
        <w:tc>
          <w:tcPr>
            <w:tcW w:w="562" w:type="dxa"/>
            <w:tcBorders>
              <w:start w:val="single" w:sz="4" w:space="0" w:color="000000"/>
              <w:bottom w:val="single" w:sz="4" w:space="0" w:color="000000"/>
            </w:tcBorders>
          </w:tcPr>
          <w:p>
            <w:pPr>
              <w:pStyle w:val="Sadrajitablice"/>
              <w:widowControl w:val="false"/>
              <w:suppressLineNumbers/>
              <w:bidi w:val="0"/>
              <w:rPr/>
            </w:pPr>
            <w:r>
              <w:rPr/>
              <w:t>4.</w:t>
            </w:r>
          </w:p>
        </w:tc>
        <w:tc>
          <w:tcPr>
            <w:tcW w:w="1119" w:type="dxa"/>
            <w:tcBorders>
              <w:start w:val="single" w:sz="4" w:space="0" w:color="000000"/>
              <w:bottom w:val="single" w:sz="4" w:space="0" w:color="000000"/>
            </w:tcBorders>
          </w:tcPr>
          <w:p>
            <w:pPr>
              <w:pStyle w:val="Sadrajitablice"/>
              <w:widowControl w:val="false"/>
              <w:suppressLineNumbers/>
              <w:bidi w:val="0"/>
              <w:rPr/>
            </w:pPr>
            <w:r>
              <w:rPr/>
              <w:t>27.07.26</w:t>
            </w:r>
          </w:p>
        </w:tc>
        <w:tc>
          <w:tcPr>
            <w:tcW w:w="1586" w:type="dxa"/>
            <w:tcBorders>
              <w:start w:val="single" w:sz="4" w:space="0" w:color="000000"/>
              <w:bottom w:val="single" w:sz="4" w:space="0" w:color="000000"/>
            </w:tcBorders>
          </w:tcPr>
          <w:p>
            <w:pPr>
              <w:pStyle w:val="Sadrajitablice"/>
              <w:widowControl w:val="false"/>
              <w:suppressLineNumbers/>
              <w:bidi w:val="0"/>
              <w:rPr/>
            </w:pPr>
            <w:r>
              <w:rPr/>
              <w:t>MOŽEMO!</w:t>
            </w:r>
          </w:p>
        </w:tc>
        <w:tc>
          <w:tcPr>
            <w:tcW w:w="1082" w:type="dxa"/>
            <w:tcBorders>
              <w:start w:val="single" w:sz="4" w:space="0" w:color="000000"/>
              <w:bottom w:val="single" w:sz="4" w:space="0" w:color="000000"/>
            </w:tcBorders>
          </w:tcPr>
          <w:p>
            <w:pPr>
              <w:pStyle w:val="Sadrajitablice"/>
              <w:widowControl w:val="false"/>
              <w:suppressLineNumbers/>
              <w:bidi w:val="0"/>
              <w:rPr/>
            </w:pPr>
            <w:r>
              <w:rPr/>
            </w:r>
          </w:p>
        </w:tc>
        <w:tc>
          <w:tcPr>
            <w:tcW w:w="2171" w:type="dxa"/>
            <w:tcBorders>
              <w:start w:val="single" w:sz="4" w:space="0" w:color="000000"/>
              <w:bottom w:val="single" w:sz="4" w:space="0" w:color="000000"/>
            </w:tcBorders>
          </w:tcPr>
          <w:p>
            <w:pPr>
              <w:pStyle w:val="Sadrajitablice"/>
              <w:widowControl w:val="false"/>
              <w:suppressLineNumbers/>
              <w:bidi w:val="0"/>
              <w:rPr/>
            </w:pPr>
            <w:r>
              <w:rPr/>
              <w:t>Propisati javno otvaranje ponuda barem za postupke iz čl. 6. (iznad 25.000 €/45.000 €), uz mogućnost prisustva zainteresirane javnosti.</w:t>
            </w:r>
          </w:p>
        </w:tc>
        <w:tc>
          <w:tcPr>
            <w:tcW w:w="3118" w:type="dxa"/>
            <w:tcBorders>
              <w:start w:val="single" w:sz="4" w:space="0" w:color="000000"/>
              <w:bottom w:val="single" w:sz="4" w:space="0" w:color="000000"/>
              <w:end w:val="single" w:sz="4" w:space="0" w:color="000000"/>
            </w:tcBorders>
          </w:tcPr>
          <w:p>
            <w:pPr>
              <w:pStyle w:val="Sadrajitablice"/>
              <w:widowControl w:val="false"/>
              <w:suppressLineNumbers/>
              <w:bidi w:val="0"/>
              <w:rPr/>
            </w:pPr>
            <w:r>
              <w:rPr/>
              <w:t>Ne prihvaća se,  sukladno čl.282 ZJN, javni naručitelj nije obvezan provesti javno otvaranje ponuda ako se ponude dostavljaju elektroničkim sredstvima komunikacije i ako EOJN RH omogućava automatsko otvaranje ponuda istodobno s istekom roka za dostavu ponuda, generiranje zapisnika o otvaranju te njegovu automatsku dostavu svim ponuditeljima koji su podnijeli ponude i naručitelju.</w:t>
            </w:r>
          </w:p>
        </w:tc>
      </w:tr>
      <w:tr>
        <w:trPr/>
        <w:tc>
          <w:tcPr>
            <w:tcW w:w="562" w:type="dxa"/>
            <w:tcBorders>
              <w:start w:val="single" w:sz="4" w:space="0" w:color="000000"/>
              <w:bottom w:val="single" w:sz="4" w:space="0" w:color="000000"/>
            </w:tcBorders>
          </w:tcPr>
          <w:p>
            <w:pPr>
              <w:pStyle w:val="Sadrajitablice"/>
              <w:widowControl w:val="false"/>
              <w:suppressLineNumbers/>
              <w:bidi w:val="0"/>
              <w:rPr/>
            </w:pPr>
            <w:r>
              <w:rPr/>
              <w:t>5.</w:t>
            </w:r>
          </w:p>
        </w:tc>
        <w:tc>
          <w:tcPr>
            <w:tcW w:w="1119" w:type="dxa"/>
            <w:tcBorders>
              <w:start w:val="single" w:sz="4" w:space="0" w:color="000000"/>
              <w:bottom w:val="single" w:sz="4" w:space="0" w:color="000000"/>
            </w:tcBorders>
          </w:tcPr>
          <w:p>
            <w:pPr>
              <w:pStyle w:val="Sadrajitablice"/>
              <w:widowControl w:val="false"/>
              <w:suppressLineNumbers/>
              <w:bidi w:val="0"/>
              <w:rPr/>
            </w:pPr>
            <w:r>
              <w:rPr/>
              <w:t>27.07.26</w:t>
            </w:r>
          </w:p>
        </w:tc>
        <w:tc>
          <w:tcPr>
            <w:tcW w:w="1586" w:type="dxa"/>
            <w:tcBorders>
              <w:start w:val="single" w:sz="4" w:space="0" w:color="000000"/>
              <w:bottom w:val="single" w:sz="4" w:space="0" w:color="000000"/>
            </w:tcBorders>
          </w:tcPr>
          <w:p>
            <w:pPr>
              <w:pStyle w:val="Sadrajitablice"/>
              <w:widowControl w:val="false"/>
              <w:suppressLineNumbers/>
              <w:bidi w:val="0"/>
              <w:rPr/>
            </w:pPr>
            <w:r>
              <w:rPr/>
              <w:t>MOŽEMO!</w:t>
            </w:r>
          </w:p>
        </w:tc>
        <w:tc>
          <w:tcPr>
            <w:tcW w:w="1082" w:type="dxa"/>
            <w:tcBorders>
              <w:start w:val="single" w:sz="4" w:space="0" w:color="000000"/>
              <w:bottom w:val="single" w:sz="4" w:space="0" w:color="000000"/>
            </w:tcBorders>
          </w:tcPr>
          <w:p>
            <w:pPr>
              <w:pStyle w:val="Sadrajitablice"/>
              <w:widowControl w:val="false"/>
              <w:suppressLineNumbers/>
              <w:bidi w:val="0"/>
              <w:rPr/>
            </w:pPr>
            <w:r>
              <w:rPr/>
            </w:r>
          </w:p>
        </w:tc>
        <w:tc>
          <w:tcPr>
            <w:tcW w:w="2171" w:type="dxa"/>
            <w:tcBorders>
              <w:start w:val="single" w:sz="4" w:space="0" w:color="000000"/>
              <w:bottom w:val="single" w:sz="4" w:space="0" w:color="000000"/>
            </w:tcBorders>
          </w:tcPr>
          <w:p>
            <w:pPr>
              <w:pStyle w:val="Sadrajitablice"/>
              <w:widowControl w:val="false"/>
              <w:suppressLineNumbers/>
              <w:bidi w:val="0"/>
              <w:rPr/>
            </w:pPr>
            <w:r>
              <w:rPr/>
              <w:t>Uvesti pojednostavljeni interni prigovor (s kraćim rokovima nego za više razrede) i za nabave u rasponu 5.000–15.000 €.</w:t>
            </w:r>
          </w:p>
        </w:tc>
        <w:tc>
          <w:tcPr>
            <w:tcW w:w="3118" w:type="dxa"/>
            <w:tcBorders>
              <w:start w:val="single" w:sz="4" w:space="0" w:color="000000"/>
              <w:bottom w:val="single" w:sz="4" w:space="0" w:color="000000"/>
              <w:end w:val="single" w:sz="4" w:space="0" w:color="000000"/>
            </w:tcBorders>
          </w:tcPr>
          <w:p>
            <w:pPr>
              <w:pStyle w:val="Sadrajitablice"/>
              <w:widowControl w:val="false"/>
              <w:suppressLineNumbers/>
              <w:bidi w:val="0"/>
              <w:rPr/>
            </w:pPr>
            <w:r>
              <w:rPr/>
              <w:t>Ne prihvaća se, sukladno Članak 15 ZJN b)  osiguranje pravne zaštite GS osigurano je putem prigovora čelniku tijela odnosno odgovornoj osobi naručitelja za nabave čija je procijenjena vrijednost veća d 15.000,00 eura</w:t>
            </w:r>
          </w:p>
        </w:tc>
      </w:tr>
      <w:tr>
        <w:trPr/>
        <w:tc>
          <w:tcPr>
            <w:tcW w:w="562" w:type="dxa"/>
            <w:tcBorders>
              <w:start w:val="single" w:sz="4" w:space="0" w:color="000000"/>
              <w:bottom w:val="single" w:sz="4" w:space="0" w:color="000000"/>
            </w:tcBorders>
          </w:tcPr>
          <w:p>
            <w:pPr>
              <w:pStyle w:val="Sadrajitablice"/>
              <w:widowControl w:val="false"/>
              <w:suppressLineNumbers/>
              <w:bidi w:val="0"/>
              <w:rPr/>
            </w:pPr>
            <w:r>
              <w:rPr/>
              <w:t>6.</w:t>
            </w:r>
          </w:p>
        </w:tc>
        <w:tc>
          <w:tcPr>
            <w:tcW w:w="1119" w:type="dxa"/>
            <w:tcBorders>
              <w:start w:val="single" w:sz="4" w:space="0" w:color="000000"/>
              <w:bottom w:val="single" w:sz="4" w:space="0" w:color="000000"/>
            </w:tcBorders>
          </w:tcPr>
          <w:p>
            <w:pPr>
              <w:pStyle w:val="Sadrajitablice"/>
              <w:widowControl w:val="false"/>
              <w:suppressLineNumbers/>
              <w:bidi w:val="0"/>
              <w:rPr/>
            </w:pPr>
            <w:r>
              <w:rPr/>
              <w:t>27.07.26</w:t>
            </w:r>
          </w:p>
        </w:tc>
        <w:tc>
          <w:tcPr>
            <w:tcW w:w="1586" w:type="dxa"/>
            <w:tcBorders>
              <w:start w:val="single" w:sz="4" w:space="0" w:color="000000"/>
              <w:bottom w:val="single" w:sz="4" w:space="0" w:color="000000"/>
            </w:tcBorders>
          </w:tcPr>
          <w:p>
            <w:pPr>
              <w:pStyle w:val="Sadrajitablice"/>
              <w:widowControl w:val="false"/>
              <w:suppressLineNumbers/>
              <w:bidi w:val="0"/>
              <w:rPr/>
            </w:pPr>
            <w:r>
              <w:rPr/>
              <w:t>MOŽEMO!</w:t>
            </w:r>
          </w:p>
        </w:tc>
        <w:tc>
          <w:tcPr>
            <w:tcW w:w="1082" w:type="dxa"/>
            <w:tcBorders>
              <w:start w:val="single" w:sz="4" w:space="0" w:color="000000"/>
              <w:bottom w:val="single" w:sz="4" w:space="0" w:color="000000"/>
            </w:tcBorders>
          </w:tcPr>
          <w:p>
            <w:pPr>
              <w:pStyle w:val="Sadrajitablice"/>
              <w:widowControl w:val="false"/>
              <w:suppressLineNumbers/>
              <w:bidi w:val="0"/>
              <w:rPr/>
            </w:pPr>
            <w:r>
              <w:rPr/>
            </w:r>
          </w:p>
        </w:tc>
        <w:tc>
          <w:tcPr>
            <w:tcW w:w="2171" w:type="dxa"/>
            <w:tcBorders>
              <w:start w:val="single" w:sz="4" w:space="0" w:color="000000"/>
              <w:bottom w:val="single" w:sz="4" w:space="0" w:color="000000"/>
            </w:tcBorders>
          </w:tcPr>
          <w:p>
            <w:pPr>
              <w:pStyle w:val="Sadrajitablice"/>
              <w:widowControl w:val="false"/>
              <w:suppressLineNumbers/>
              <w:bidi w:val="0"/>
              <w:rPr/>
            </w:pPr>
            <w:r>
              <w:rPr/>
              <w:t>U sastav povjerenstva za rješavanje prigovora uključiti najmanje jednog člana izvan upravnih tijela Grada koja provode nabavu (npr. predstavnika Gradskog vijeća ili neovisnog vanjskog člana).</w:t>
            </w:r>
          </w:p>
        </w:tc>
        <w:tc>
          <w:tcPr>
            <w:tcW w:w="3118" w:type="dxa"/>
            <w:tcBorders>
              <w:start w:val="single" w:sz="4" w:space="0" w:color="000000"/>
              <w:bottom w:val="single" w:sz="4" w:space="0" w:color="000000"/>
              <w:end w:val="single" w:sz="4" w:space="0" w:color="000000"/>
            </w:tcBorders>
          </w:tcPr>
          <w:p>
            <w:pPr>
              <w:pStyle w:val="Sadrajitablice"/>
              <w:widowControl w:val="false"/>
              <w:suppressLineNumbers/>
              <w:bidi w:val="0"/>
              <w:rPr/>
            </w:pPr>
            <w:r>
              <w:rPr/>
              <w:t>Ne prihvaća se.Postupci jednostavne nabave provode se unutar upravnog tijela,a Povjerenstvo za prigovore tijelo je koje se osniva u skladu s odredbama Zakona. Zakon o javnoj nabavi ne propisuje sastav povjerenstva, već se ono osniva od strane čelnika naručitelja odmah po stupanju na snagu ovog Pravilniku. S obzirom na zakonske odredbe ovim Pravilnikom se utvrđuje obveza osnivanja Povjerenstva za prigovore, te se ne propisuje njegov sastav.</w:t>
            </w:r>
          </w:p>
        </w:tc>
      </w:tr>
      <w:tr>
        <w:trPr/>
        <w:tc>
          <w:tcPr>
            <w:tcW w:w="562" w:type="dxa"/>
            <w:tcBorders>
              <w:start w:val="single" w:sz="4" w:space="0" w:color="000000"/>
              <w:bottom w:val="single" w:sz="4" w:space="0" w:color="000000"/>
            </w:tcBorders>
          </w:tcPr>
          <w:p>
            <w:pPr>
              <w:pStyle w:val="Sadrajitablice"/>
              <w:widowControl w:val="false"/>
              <w:suppressLineNumbers/>
              <w:bidi w:val="0"/>
              <w:rPr/>
            </w:pPr>
            <w:r>
              <w:rPr/>
              <w:t>7.</w:t>
            </w:r>
          </w:p>
        </w:tc>
        <w:tc>
          <w:tcPr>
            <w:tcW w:w="1119" w:type="dxa"/>
            <w:tcBorders>
              <w:start w:val="single" w:sz="4" w:space="0" w:color="000000"/>
              <w:bottom w:val="single" w:sz="4" w:space="0" w:color="000000"/>
            </w:tcBorders>
          </w:tcPr>
          <w:p>
            <w:pPr>
              <w:pStyle w:val="Sadrajitablice"/>
              <w:widowControl w:val="false"/>
              <w:suppressLineNumbers/>
              <w:bidi w:val="0"/>
              <w:rPr/>
            </w:pPr>
            <w:r>
              <w:rPr/>
              <w:t>27.07.26</w:t>
            </w:r>
          </w:p>
        </w:tc>
        <w:tc>
          <w:tcPr>
            <w:tcW w:w="1586" w:type="dxa"/>
            <w:tcBorders>
              <w:start w:val="single" w:sz="4" w:space="0" w:color="000000"/>
              <w:bottom w:val="single" w:sz="4" w:space="0" w:color="000000"/>
            </w:tcBorders>
          </w:tcPr>
          <w:p>
            <w:pPr>
              <w:pStyle w:val="Sadrajitablice"/>
              <w:widowControl w:val="false"/>
              <w:suppressLineNumbers/>
              <w:bidi w:val="0"/>
              <w:rPr/>
            </w:pPr>
            <w:r>
              <w:rPr/>
              <w:t>MOŽEMO!</w:t>
            </w:r>
          </w:p>
        </w:tc>
        <w:tc>
          <w:tcPr>
            <w:tcW w:w="1082" w:type="dxa"/>
            <w:tcBorders>
              <w:start w:val="single" w:sz="4" w:space="0" w:color="000000"/>
              <w:bottom w:val="single" w:sz="4" w:space="0" w:color="000000"/>
            </w:tcBorders>
          </w:tcPr>
          <w:p>
            <w:pPr>
              <w:pStyle w:val="Sadrajitablice"/>
              <w:widowControl w:val="false"/>
              <w:suppressLineNumbers/>
              <w:bidi w:val="0"/>
              <w:rPr/>
            </w:pPr>
            <w:r>
              <w:rPr/>
            </w:r>
          </w:p>
        </w:tc>
        <w:tc>
          <w:tcPr>
            <w:tcW w:w="2171" w:type="dxa"/>
            <w:tcBorders>
              <w:start w:val="single" w:sz="4" w:space="0" w:color="000000"/>
              <w:bottom w:val="single" w:sz="4" w:space="0" w:color="000000"/>
            </w:tcBorders>
          </w:tcPr>
          <w:p>
            <w:pPr>
              <w:pStyle w:val="Sadrajitablice"/>
              <w:widowControl w:val="false"/>
              <w:suppressLineNumbers/>
              <w:bidi w:val="0"/>
              <w:rPr/>
            </w:pPr>
            <w:r>
              <w:rPr/>
              <w:t>Ako se pragovi zadržavaju na zakonskom maksimumu, kompenzirati to strožim unutarnjim pravilima transparentnosti i kontrole navedenim u točkama 1.–6. ovog obrasca.</w:t>
            </w:r>
          </w:p>
        </w:tc>
        <w:tc>
          <w:tcPr>
            <w:tcW w:w="3118" w:type="dxa"/>
            <w:tcBorders>
              <w:start w:val="single" w:sz="4" w:space="0" w:color="000000"/>
              <w:bottom w:val="single" w:sz="4" w:space="0" w:color="000000"/>
              <w:end w:val="single" w:sz="4" w:space="0" w:color="000000"/>
            </w:tcBorders>
          </w:tcPr>
          <w:p>
            <w:pPr>
              <w:pStyle w:val="Sadrajitablice"/>
              <w:widowControl w:val="false"/>
              <w:suppressLineNumbers/>
              <w:bidi w:val="0"/>
              <w:rPr/>
            </w:pPr>
            <w:r>
              <w:rPr/>
              <w:t>Ne prihvaća se, jednostavna nabava se provodi sukladno Pravilniku o jednostavnoj nabavi i Zakonu o javnoj nabavi koji propisuje pragove za nabavu i privila za njihovo provođenje.</w:t>
            </w:r>
          </w:p>
        </w:tc>
      </w:tr>
    </w:tbl>
    <w:p>
      <w:pPr>
        <w:pStyle w:val="Normal"/>
        <w:bidi w:val="0"/>
        <w:rPr/>
      </w:pPr>
      <w:r>
        <w:rPr/>
      </w:r>
    </w:p>
    <w:sectPr>
      <w:type w:val="nextPage"/>
      <w:pgSz w:w="11906" w:h="16838"/>
      <w:pgMar w:left="1134" w:right="1134" w:gutter="0" w:header="0" w:top="1134" w:footer="0" w:bottom="1134"/>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Arial">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hr-HR" w:eastAsia="zh-CN" w:bidi="hi-IN"/>
      </w:rPr>
    </w:rPrDefault>
    <w:pPrDefault>
      <w:pPr>
        <w:widowControl/>
        <w:suppressAutoHyphens w:val="true"/>
      </w:pPr>
    </w:pPrDefault>
  </w:docDefaults>
  <w:style w:type="paragraph" w:styleId="Normal">
    <w:name w:val="Normal"/>
    <w:pPr>
      <w:widowControl/>
      <w:bidi w:val="0"/>
    </w:pPr>
    <w:rPr>
      <w:rFonts w:ascii="Liberation Serif" w:hAnsi="Liberation Serif" w:eastAsia="NSimSun" w:cs="Lucida Sans"/>
      <w:color w:val="auto"/>
      <w:kern w:val="2"/>
      <w:sz w:val="24"/>
      <w:szCs w:val="24"/>
      <w:lang w:val="hr-HR" w:eastAsia="zh-CN" w:bidi="hi-IN"/>
    </w:rPr>
  </w:style>
  <w:style w:type="paragraph" w:styleId="Stilnaslova">
    <w:name w:val="Stil naslova"/>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eks">
    <w:name w:val="Indeks"/>
    <w:basedOn w:val="Normal"/>
    <w:pPr>
      <w:suppressLineNumbers/>
    </w:pPr>
    <w:rPr>
      <w:rFonts w:cs="Lucida Sans"/>
    </w:rPr>
  </w:style>
  <w:style w:type="paragraph" w:styleId="Sadrajitablice">
    <w:name w:val="Sadržaji tablice"/>
    <w:basedOn w:val="Normal"/>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LibreOffice/26.8.0.3$Windows_X86_64 LibreOffice_project/bce0998afefdbc355585ca324285661a2170ba77</Application>
  <AppVersion>15.0000</AppVersion>
  <Pages>3</Pages>
  <Words>506</Words>
  <Characters>3026</Characters>
  <CharactersWithSpaces>3490</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2026-09-15T13:30:05Z</dcterms:created>
  <dc:creator/>
  <dc:description/>
  <dc:language>hr-HR</dc:language>
  <cp:lastModifiedBy/>
  <dcterms:modified xsi:type="dcterms:W3CDTF">2026-09-15T13:31:18Z</dcterms:modified>
  <cp:revision>1</cp:revision>
  <dc:subject/>
  <dc:title/>
</cp:coreProperties>
</file>