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707B" w14:textId="3D4F1F92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Na temelju članka 18. Zakona o proračunu (»Narodne novine« broj 144/21) i članka 32. Statuta Grada Malog Lošinja (»Službene novine Primorsko-goranske županije« broj 26/09, 32/09, 10/13, 24/17, 9/18 i 9/21) Gradsko vijeće Grada Malog Lošinja, na sjednici održanoj dana ______ 202</w:t>
      </w:r>
      <w:r w:rsidR="00884538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 godine, donijelo je</w:t>
      </w:r>
    </w:p>
    <w:p w14:paraId="2DB27049" w14:textId="77777777" w:rsidR="00DD0EDA" w:rsidRDefault="00DD0EDA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7C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7D" w14:textId="324DAAD3" w:rsidR="00EC2FE9" w:rsidRDefault="004D7B1E">
      <w:pPr>
        <w:pStyle w:val="StandardWeb"/>
        <w:spacing w:before="0"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ODLUKU</w:t>
      </w:r>
      <w:r>
        <w:rPr>
          <w:rFonts w:ascii="Arial" w:hAnsi="Arial" w:cs="Arial"/>
          <w:b/>
          <w:bCs/>
          <w:sz w:val="20"/>
          <w:szCs w:val="20"/>
        </w:rPr>
        <w:br/>
        <w:t xml:space="preserve">o izvršavanju Proračuna Grada Malog Lošinja </w:t>
      </w:r>
      <w:r>
        <w:rPr>
          <w:rFonts w:ascii="Arial" w:hAnsi="Arial" w:cs="Arial"/>
          <w:b/>
          <w:bCs/>
          <w:sz w:val="20"/>
          <w:szCs w:val="20"/>
        </w:rPr>
        <w:br/>
        <w:t>za 202</w:t>
      </w:r>
      <w:r w:rsidR="00884538"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. godinu</w:t>
      </w:r>
    </w:p>
    <w:p w14:paraId="37C9707E" w14:textId="77777777" w:rsidR="00EC2FE9" w:rsidRDefault="00EC2FE9">
      <w:pPr>
        <w:pStyle w:val="StandardWeb"/>
        <w:spacing w:before="0" w:after="0"/>
        <w:rPr>
          <w:rFonts w:ascii="Arial" w:hAnsi="Arial" w:cs="Arial"/>
          <w:sz w:val="20"/>
          <w:szCs w:val="20"/>
        </w:rPr>
      </w:pPr>
    </w:p>
    <w:p w14:paraId="37C9707F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1.</w:t>
      </w:r>
    </w:p>
    <w:p w14:paraId="37C97080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81" w14:textId="4A9E871A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Ovom se Odlukom uređuje struktura prihoda, primitaka, rashoda i izdataka Proračuna Grada Malog Lošinja za 202</w:t>
      </w:r>
      <w:r w:rsidR="00884538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. godinu (u daljnjem tekstu: Proračun) i njegovo izvršavanje, opseg zaduživanja i jamstava, upravljanje javnim dugom te financijskom i nefinancijskom imovinom, prava i obveze korisnika proračunskih sredstava, ovlasti Gradonačelnika  Grada Malog Lošinja (u daljnjem tekstu: Gradonačelnika) u izvršavanju Proračuna te druga pitanja o izvršavanju Proračuna.</w:t>
      </w:r>
    </w:p>
    <w:p w14:paraId="37C97082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83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2.</w:t>
      </w:r>
    </w:p>
    <w:p w14:paraId="37C97084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85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Proračun se sastoji od Općeg i Posebnog dijela, te Obrazloženja. </w:t>
      </w:r>
    </w:p>
    <w:p w14:paraId="37C97086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Opći dio Proračuna sadrži: sažetak Računa prihoda i rashoda i Računa financiranja, Račun prihoda i rashoda i Račun financiranja.</w:t>
      </w:r>
    </w:p>
    <w:p w14:paraId="37C97087" w14:textId="61220641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Računu prihoda i rashoda iskazani su svi porezni i neporezni prihodi i prihodi od nefinancijske imovine te sredstva za financiranje javnih rashoda na razini Grada Malog Lošinja (u daljnjem tek</w:t>
      </w:r>
      <w:r w:rsidR="00233DB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tu: Grada) i proračunskih korisnika.</w:t>
      </w:r>
    </w:p>
    <w:p w14:paraId="37C97088" w14:textId="77777777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Računu financiranja iskazani su primici od financijske imovine i zaduživanja te svi izdaci za financijsku imovinu i otplatu kredita i zajmova.</w:t>
      </w:r>
    </w:p>
    <w:p w14:paraId="37C97089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Posebni dio Proračuna sastoji se od plana rashoda i izdataka proračunskih korisnika iskazanih po organizacijskoj  klasifikaciji, izvorima financiranja i ekonomskoj klasifikaciji, raspoređenih u programe koji se sastoje od aktivnosti i projekata.</w:t>
      </w:r>
    </w:p>
    <w:p w14:paraId="37C9708B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8C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3.</w:t>
      </w:r>
    </w:p>
    <w:p w14:paraId="37C9708D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8E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Sredstva za rashode i izdatke korisnika Proračuna osiguravaju se proračunskim korisnicima, i to: tijelima gradske uprave, ustanovama kojima je Grad osnivač (Dječji vrtić Cvrčak, Pučko otvoreno učilište, Gradska knjižnica i čitaonica, Lošinjski muzej, Javna vatrogasna postrojba, u daljnjem tekstu: ustanove Grada), mjesnim odborima te ostalim korisnicima koji su u njegovu Posebnom dijelu određeni za nositelje sredstava.</w:t>
      </w:r>
    </w:p>
    <w:p w14:paraId="37C9708F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90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4.</w:t>
      </w:r>
    </w:p>
    <w:p w14:paraId="37C97091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92" w14:textId="3BF8ED35" w:rsidR="00EC2FE9" w:rsidRDefault="007F31D7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Upravni odjel za razvoj i financije</w:t>
      </w:r>
      <w:r w:rsidR="004D7B1E">
        <w:rPr>
          <w:rFonts w:ascii="Arial" w:hAnsi="Arial" w:cs="Arial"/>
          <w:sz w:val="20"/>
          <w:szCs w:val="20"/>
        </w:rPr>
        <w:t xml:space="preserve"> obvezan je, u roku od osam dana od dana donošenja Proračuna izvijestiti </w:t>
      </w:r>
      <w:r w:rsidR="008E32DC">
        <w:rPr>
          <w:rFonts w:ascii="Arial" w:hAnsi="Arial" w:cs="Arial"/>
          <w:sz w:val="20"/>
          <w:szCs w:val="20"/>
        </w:rPr>
        <w:t>ostale upravne odjele</w:t>
      </w:r>
      <w:r w:rsidR="004D7B1E">
        <w:rPr>
          <w:rFonts w:ascii="Arial" w:hAnsi="Arial" w:cs="Arial"/>
          <w:sz w:val="20"/>
          <w:szCs w:val="20"/>
        </w:rPr>
        <w:t xml:space="preserve"> o odobrenim sredstvima u Proračunu, a </w:t>
      </w:r>
      <w:r w:rsidR="000026F4">
        <w:rPr>
          <w:rFonts w:ascii="Arial" w:hAnsi="Arial" w:cs="Arial"/>
          <w:sz w:val="20"/>
          <w:szCs w:val="20"/>
        </w:rPr>
        <w:t>drugi upravni odjeli</w:t>
      </w:r>
      <w:r w:rsidR="004D7B1E">
        <w:rPr>
          <w:rFonts w:ascii="Arial" w:hAnsi="Arial" w:cs="Arial"/>
          <w:sz w:val="20"/>
          <w:szCs w:val="20"/>
        </w:rPr>
        <w:t xml:space="preserve"> obvezn</w:t>
      </w:r>
      <w:r w:rsidR="000026F4">
        <w:rPr>
          <w:rFonts w:ascii="Arial" w:hAnsi="Arial" w:cs="Arial"/>
          <w:sz w:val="20"/>
          <w:szCs w:val="20"/>
        </w:rPr>
        <w:t>i</w:t>
      </w:r>
      <w:r w:rsidR="004D7B1E">
        <w:rPr>
          <w:rFonts w:ascii="Arial" w:hAnsi="Arial" w:cs="Arial"/>
          <w:sz w:val="20"/>
          <w:szCs w:val="20"/>
        </w:rPr>
        <w:t xml:space="preserve"> su u daljnjem roku od osam dana izvijestiti o istom krajnje korisnike koji su određeni kao nositelji sredstava u </w:t>
      </w:r>
      <w:r w:rsidR="00B40DDA">
        <w:rPr>
          <w:rFonts w:ascii="Arial" w:hAnsi="Arial" w:cs="Arial"/>
          <w:sz w:val="20"/>
          <w:szCs w:val="20"/>
        </w:rPr>
        <w:t>p</w:t>
      </w:r>
      <w:r w:rsidR="004D7B1E">
        <w:rPr>
          <w:rFonts w:ascii="Arial" w:hAnsi="Arial" w:cs="Arial"/>
          <w:sz w:val="20"/>
          <w:szCs w:val="20"/>
        </w:rPr>
        <w:t>osebnom dijelu Proračuna.</w:t>
      </w:r>
    </w:p>
    <w:p w14:paraId="37C97095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7C97096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5.</w:t>
      </w:r>
    </w:p>
    <w:p w14:paraId="37C97097" w14:textId="77777777" w:rsidR="00EC2FE9" w:rsidRDefault="00EC2FE9">
      <w:pPr>
        <w:shd w:val="clear" w:color="auto" w:fill="FFFFFF"/>
        <w:ind w:right="14"/>
        <w:rPr>
          <w:rFonts w:ascii="Arial" w:hAnsi="Arial" w:cs="Arial"/>
          <w:sz w:val="20"/>
          <w:szCs w:val="20"/>
        </w:rPr>
      </w:pPr>
    </w:p>
    <w:p w14:paraId="37C97098" w14:textId="77777777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planiranje i izvršavanje Proračuna u cjelini odgovoran je Gradonačelnik.</w:t>
      </w:r>
    </w:p>
    <w:p w14:paraId="37C97099" w14:textId="605AD6BE" w:rsidR="00EC2FE9" w:rsidRDefault="009E55C7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Upravni odjel za razvoj i financije</w:t>
      </w:r>
      <w:r w:rsidR="004D7B1E">
        <w:rPr>
          <w:rFonts w:ascii="Arial" w:hAnsi="Arial" w:cs="Arial"/>
          <w:sz w:val="20"/>
          <w:szCs w:val="20"/>
        </w:rPr>
        <w:t xml:space="preserve"> izvršava Proračun i o tome izvještava Gradonačelnika.</w:t>
      </w:r>
    </w:p>
    <w:p w14:paraId="37C9709A" w14:textId="31AFB46B" w:rsidR="00EC2FE9" w:rsidRDefault="00F55C27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Pročelnici upravnih</w:t>
      </w:r>
      <w:r w:rsidR="008D2972">
        <w:rPr>
          <w:rFonts w:ascii="Arial" w:hAnsi="Arial" w:cs="Arial"/>
          <w:sz w:val="20"/>
          <w:szCs w:val="20"/>
        </w:rPr>
        <w:t xml:space="preserve"> odjela</w:t>
      </w:r>
      <w:r w:rsidR="004D7B1E">
        <w:rPr>
          <w:rFonts w:ascii="Arial" w:hAnsi="Arial" w:cs="Arial"/>
          <w:sz w:val="20"/>
          <w:szCs w:val="20"/>
        </w:rPr>
        <w:t xml:space="preserve"> kao i odgovorne osobe proračunskih korisnika odgovorni su za planiranje i izvršavanje Proračuna iz svoje nadležnosti, kao i za zakonito, učinkovito i ekonomično raspolaganje proračunskim sredstvima. Odgovornost za izvršavanje proračuna podrazumijeva odgovornost za preuzimanje i verifikaciju obveza, za izdavanje naloga za plaćanje na teret proračunskih sredstava, te za utvrđivanje prava naplate i izdavanje naloga za naplatu u korist proračunskih sredstava.</w:t>
      </w:r>
    </w:p>
    <w:p w14:paraId="37C9709B" w14:textId="41B47433" w:rsidR="00EC2FE9" w:rsidRDefault="004D7B1E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Gradonačelnik, </w:t>
      </w:r>
      <w:r w:rsidR="00E22EC9">
        <w:rPr>
          <w:rFonts w:ascii="Arial" w:hAnsi="Arial" w:cs="Arial"/>
          <w:sz w:val="20"/>
          <w:szCs w:val="20"/>
        </w:rPr>
        <w:t>pročelnici</w:t>
      </w:r>
      <w:r>
        <w:rPr>
          <w:rFonts w:ascii="Arial" w:hAnsi="Arial" w:cs="Arial"/>
          <w:sz w:val="20"/>
          <w:szCs w:val="20"/>
        </w:rPr>
        <w:t>, te odgovorne osobe proračunskih korisnika dužni su primjenjivati fiskalna pravila Zakona o fiskalnoj odgovornosti („Narodne novine“ 111/18</w:t>
      </w:r>
      <w:r w:rsidR="00927881">
        <w:rPr>
          <w:rFonts w:ascii="Arial" w:hAnsi="Arial" w:cs="Arial"/>
          <w:sz w:val="20"/>
          <w:szCs w:val="20"/>
        </w:rPr>
        <w:t xml:space="preserve"> i 83/23</w:t>
      </w:r>
      <w:r>
        <w:rPr>
          <w:rFonts w:ascii="Arial" w:hAnsi="Arial" w:cs="Arial"/>
          <w:sz w:val="20"/>
          <w:szCs w:val="20"/>
        </w:rPr>
        <w:t>) i osigurati učinkovito i djelotvorno funkcioniranje sustava financijskog upravljanja i kontrola kao i sustava nadzora i kontrole nad trošenjem proračunskih sredstava.</w:t>
      </w:r>
    </w:p>
    <w:p w14:paraId="37C9709C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9E" w14:textId="27C6D289" w:rsidR="00EC2FE9" w:rsidRDefault="004D7B1E" w:rsidP="00E56F5A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6.</w:t>
      </w:r>
    </w:p>
    <w:p w14:paraId="1E565C42" w14:textId="77777777" w:rsidR="00597416" w:rsidRDefault="00597416" w:rsidP="00E56F5A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9F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Prihodi Proračuna ubiru se i uplaćuju u Proračun u skladu sa zakonom i drugim propisima neovisno </w:t>
      </w:r>
      <w:r>
        <w:rPr>
          <w:rFonts w:ascii="Arial" w:hAnsi="Arial" w:cs="Arial"/>
          <w:sz w:val="20"/>
          <w:szCs w:val="20"/>
        </w:rPr>
        <w:lastRenderedPageBreak/>
        <w:t>o visini prihoda planiranih u Proračunu.</w:t>
      </w:r>
    </w:p>
    <w:p w14:paraId="37C970A1" w14:textId="4DFB05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Iznimno, temeljem članka 52. Stavak 7. Zakona o proračunu, izuzimaju se od uplate u Proračun sredstva od donacija u iznosu od 47.000,00 EUR za izgradnju nerazvrstane ceste ML 189</w:t>
      </w:r>
      <w:r w:rsidR="007D42FC">
        <w:rPr>
          <w:rFonts w:ascii="Arial" w:hAnsi="Arial" w:cs="Arial"/>
          <w:sz w:val="20"/>
          <w:szCs w:val="20"/>
        </w:rPr>
        <w:t xml:space="preserve">, </w:t>
      </w:r>
      <w:r w:rsidR="004724D2">
        <w:rPr>
          <w:rFonts w:ascii="Arial" w:hAnsi="Arial" w:cs="Arial"/>
          <w:sz w:val="20"/>
          <w:szCs w:val="20"/>
        </w:rPr>
        <w:t>za izgradnju nerazvrstane ceste 147 u iznosu od 2</w:t>
      </w:r>
      <w:r w:rsidR="000C1F53">
        <w:rPr>
          <w:rFonts w:ascii="Arial" w:hAnsi="Arial" w:cs="Arial"/>
          <w:sz w:val="20"/>
          <w:szCs w:val="20"/>
        </w:rPr>
        <w:t>0</w:t>
      </w:r>
      <w:r w:rsidR="004724D2">
        <w:rPr>
          <w:rFonts w:ascii="Arial" w:hAnsi="Arial" w:cs="Arial"/>
          <w:sz w:val="20"/>
          <w:szCs w:val="20"/>
        </w:rPr>
        <w:t>.000,00 eura i</w:t>
      </w:r>
      <w:r w:rsidR="001E6383">
        <w:rPr>
          <w:rFonts w:ascii="Arial" w:hAnsi="Arial" w:cs="Arial"/>
          <w:sz w:val="20"/>
          <w:szCs w:val="20"/>
        </w:rPr>
        <w:t xml:space="preserve"> za </w:t>
      </w:r>
      <w:r w:rsidR="004724D2">
        <w:rPr>
          <w:rFonts w:ascii="Arial" w:hAnsi="Arial" w:cs="Arial"/>
          <w:sz w:val="20"/>
          <w:szCs w:val="20"/>
        </w:rPr>
        <w:t xml:space="preserve"> </w:t>
      </w:r>
      <w:r w:rsidR="002004EA">
        <w:rPr>
          <w:rFonts w:ascii="Arial" w:hAnsi="Arial" w:cs="Arial"/>
          <w:sz w:val="20"/>
          <w:szCs w:val="20"/>
        </w:rPr>
        <w:t>izgradnj</w:t>
      </w:r>
      <w:r w:rsidR="001E6383">
        <w:rPr>
          <w:rFonts w:ascii="Arial" w:hAnsi="Arial" w:cs="Arial"/>
          <w:sz w:val="20"/>
          <w:szCs w:val="20"/>
        </w:rPr>
        <w:t xml:space="preserve">u javne rasvjete na </w:t>
      </w:r>
      <w:proofErr w:type="spellStart"/>
      <w:r w:rsidR="001E6383">
        <w:rPr>
          <w:rFonts w:ascii="Arial" w:hAnsi="Arial" w:cs="Arial"/>
          <w:sz w:val="20"/>
          <w:szCs w:val="20"/>
        </w:rPr>
        <w:t>Čikatu</w:t>
      </w:r>
      <w:proofErr w:type="spellEnd"/>
      <w:r w:rsidR="001E6383">
        <w:rPr>
          <w:rFonts w:ascii="Arial" w:hAnsi="Arial" w:cs="Arial"/>
          <w:sz w:val="20"/>
          <w:szCs w:val="20"/>
        </w:rPr>
        <w:t xml:space="preserve"> u iznosu od 46.500,00 eura</w:t>
      </w:r>
      <w:r w:rsidR="002004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</w:t>
      </w:r>
    </w:p>
    <w:p w14:paraId="37C970A2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7.</w:t>
      </w:r>
    </w:p>
    <w:p w14:paraId="37C970A3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A4433FE" w14:textId="42BCF2F7" w:rsidR="00B57853" w:rsidRDefault="00D829D5" w:rsidP="005C579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Grad Mali Lošinj </w:t>
      </w:r>
      <w:r w:rsidR="005311C7">
        <w:rPr>
          <w:rFonts w:ascii="Arial" w:hAnsi="Arial" w:cs="Arial"/>
          <w:sz w:val="20"/>
          <w:szCs w:val="20"/>
        </w:rPr>
        <w:t>u 2026</w:t>
      </w:r>
      <w:r>
        <w:rPr>
          <w:rFonts w:ascii="Arial" w:hAnsi="Arial" w:cs="Arial"/>
          <w:sz w:val="20"/>
          <w:szCs w:val="20"/>
        </w:rPr>
        <w:t>. godin</w:t>
      </w:r>
      <w:r w:rsidR="00252D77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uv</w:t>
      </w:r>
      <w:r w:rsidR="00252D77">
        <w:rPr>
          <w:rFonts w:ascii="Arial" w:hAnsi="Arial" w:cs="Arial"/>
          <w:sz w:val="20"/>
          <w:szCs w:val="20"/>
        </w:rPr>
        <w:t>eo je</w:t>
      </w:r>
      <w:r>
        <w:rPr>
          <w:rFonts w:ascii="Arial" w:hAnsi="Arial" w:cs="Arial"/>
          <w:sz w:val="20"/>
          <w:szCs w:val="20"/>
        </w:rPr>
        <w:t xml:space="preserve"> punu Lokalnu riznicu za svoje proračunske korisnike.</w:t>
      </w:r>
    </w:p>
    <w:p w14:paraId="678669B5" w14:textId="77777777" w:rsidR="00CE3F38" w:rsidRDefault="00CE3F38" w:rsidP="009A214B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443EECC9" w14:textId="7B540A03" w:rsidR="00CE3F38" w:rsidRDefault="00CE3F38" w:rsidP="009A214B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Lokalna riznica pretpostavlja postojanje jednog žiro-računa preko kojeg se obavljaju sve financijske transakcije i to žiro-račun Grada.</w:t>
      </w:r>
    </w:p>
    <w:p w14:paraId="613E7D11" w14:textId="77777777" w:rsidR="00892AEA" w:rsidRDefault="00892AEA" w:rsidP="009A214B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92DF218" w14:textId="07BA8150" w:rsidR="00892AEA" w:rsidRDefault="00892AEA" w:rsidP="009A214B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Svi prihodi i primici proračunskih korisnika uplaćuju se na žiro-račun Grada, a svi rashodi i izdaci proračunskih korisnika isplaćuju se sa žiro-računa Grada.</w:t>
      </w:r>
    </w:p>
    <w:p w14:paraId="37C970AA" w14:textId="2AEE94BD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          </w:t>
      </w:r>
    </w:p>
    <w:p w14:paraId="37C970AB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8.</w:t>
      </w:r>
    </w:p>
    <w:p w14:paraId="3067E086" w14:textId="77777777" w:rsidR="00C424E1" w:rsidRDefault="00C424E1" w:rsidP="009A214B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221A6568" w14:textId="507CCE01" w:rsidR="002F0238" w:rsidRDefault="00C424E1" w:rsidP="005C579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Sukladno Zakonu o proračunu</w:t>
      </w:r>
      <w:r w:rsidR="00AD3532">
        <w:rPr>
          <w:rFonts w:ascii="Arial" w:hAnsi="Arial" w:cs="Arial"/>
          <w:sz w:val="20"/>
          <w:szCs w:val="20"/>
        </w:rPr>
        <w:t>, proračunski korisnici imaju pravo korištenja naplaćenih namjenskih prihoda i to pomoći, donacija, prihoda za posebne namjene, prihoda od prodaje ili zamjene nefinancijske imovine</w:t>
      </w:r>
      <w:r w:rsidR="00E1540D">
        <w:rPr>
          <w:rFonts w:ascii="Arial" w:hAnsi="Arial" w:cs="Arial"/>
          <w:sz w:val="20"/>
          <w:szCs w:val="20"/>
        </w:rPr>
        <w:t xml:space="preserve"> (koja nije stečene iz općih prihoda i primitaka) i naknada s osnova osiguranja (ako premija nije plaćena iz općih</w:t>
      </w:r>
      <w:r w:rsidR="002F0238">
        <w:rPr>
          <w:rFonts w:ascii="Arial" w:hAnsi="Arial" w:cs="Arial"/>
          <w:sz w:val="20"/>
          <w:szCs w:val="20"/>
        </w:rPr>
        <w:t xml:space="preserve"> prihoda i primitaka) te namjenskih primitaka od financijske imovine i zaduživanja.</w:t>
      </w:r>
    </w:p>
    <w:p w14:paraId="77144FD8" w14:textId="77777777" w:rsidR="00C424E1" w:rsidRDefault="00C424E1" w:rsidP="009A214B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611AA1E3" w14:textId="40BA218A" w:rsidR="009A214B" w:rsidRDefault="0027228E" w:rsidP="005C579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Prihodi koje proračunski korisnici ostvare obavljanjem poslova na tržištu (vlastiti prihodi), prihodi su proračunskih korisnika i koristit će se sukladno financijskim planovima proračunskih korisnika</w:t>
      </w:r>
      <w:r w:rsidR="009A214B">
        <w:rPr>
          <w:rFonts w:ascii="Arial" w:hAnsi="Arial" w:cs="Arial"/>
          <w:sz w:val="20"/>
          <w:szCs w:val="20"/>
        </w:rPr>
        <w:t>.</w:t>
      </w:r>
      <w:r w:rsidR="00084489">
        <w:rPr>
          <w:rFonts w:ascii="Arial" w:hAnsi="Arial" w:cs="Arial"/>
          <w:sz w:val="20"/>
          <w:szCs w:val="20"/>
        </w:rPr>
        <w:t xml:space="preserve"> Sredstva se uplaćuju na </w:t>
      </w:r>
      <w:r w:rsidR="007B2CD4">
        <w:rPr>
          <w:rFonts w:ascii="Arial" w:hAnsi="Arial" w:cs="Arial"/>
          <w:sz w:val="20"/>
          <w:szCs w:val="20"/>
        </w:rPr>
        <w:t>žiro-račun Grada.</w:t>
      </w:r>
    </w:p>
    <w:p w14:paraId="37C970AC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AD" w14:textId="336EFBB4" w:rsidR="00EC2FE9" w:rsidRPr="0016755E" w:rsidRDefault="004D7B1E">
      <w:pPr>
        <w:jc w:val="both"/>
        <w:rPr>
          <w:rFonts w:ascii="Arial" w:hAnsi="Arial" w:cs="Arial"/>
          <w:sz w:val="20"/>
          <w:szCs w:val="20"/>
        </w:rPr>
      </w:pPr>
      <w:r w:rsidRPr="0016755E">
        <w:rPr>
          <w:rFonts w:ascii="Arial" w:hAnsi="Arial" w:cs="Arial"/>
          <w:sz w:val="22"/>
          <w:szCs w:val="22"/>
        </w:rPr>
        <w:t xml:space="preserve">            </w:t>
      </w:r>
      <w:r w:rsidRPr="0016755E">
        <w:rPr>
          <w:rFonts w:ascii="Arial" w:hAnsi="Arial" w:cs="Arial"/>
          <w:sz w:val="20"/>
          <w:szCs w:val="20"/>
        </w:rPr>
        <w:t xml:space="preserve">Namjenski prihodi iz stavka 1. </w:t>
      </w:r>
      <w:r w:rsidR="007B2CD4" w:rsidRPr="0016755E">
        <w:rPr>
          <w:rFonts w:ascii="Arial" w:hAnsi="Arial" w:cs="Arial"/>
          <w:sz w:val="20"/>
          <w:szCs w:val="20"/>
        </w:rPr>
        <w:t>ovog članka</w:t>
      </w:r>
      <w:r w:rsidRPr="0016755E">
        <w:rPr>
          <w:rFonts w:ascii="Arial" w:hAnsi="Arial" w:cs="Arial"/>
          <w:sz w:val="20"/>
          <w:szCs w:val="20"/>
        </w:rPr>
        <w:t xml:space="preserve"> koji ne budu iskorišteni u ovoj proračunskoj godini prenose se u narednu proračunsku godinu i koriste se za iste namjene za koje su bili utvrđeni financijskim planom proračunskih korisnika za ovu proračunsku godinu. </w:t>
      </w:r>
    </w:p>
    <w:p w14:paraId="37C970AE" w14:textId="039839A8" w:rsidR="00EC2FE9" w:rsidRPr="0016755E" w:rsidRDefault="004D7B1E">
      <w:pPr>
        <w:jc w:val="both"/>
        <w:rPr>
          <w:rFonts w:ascii="Arial" w:hAnsi="Arial" w:cs="Arial"/>
          <w:sz w:val="20"/>
          <w:szCs w:val="20"/>
        </w:rPr>
      </w:pPr>
      <w:r w:rsidRPr="0016755E">
        <w:rPr>
          <w:rFonts w:ascii="Arial" w:hAnsi="Arial" w:cs="Arial"/>
          <w:sz w:val="20"/>
          <w:szCs w:val="20"/>
        </w:rPr>
        <w:t xml:space="preserve">             .  </w:t>
      </w:r>
    </w:p>
    <w:p w14:paraId="37C970AF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9.</w:t>
      </w:r>
    </w:p>
    <w:p w14:paraId="37C970B0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B1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Svaki rashod i izdatak iz Proračuna mora se temeljiti na vjerodostojnoj knjigovodstvenoj ispravi kojom se dokazuje obveza plaćanja.</w:t>
      </w:r>
    </w:p>
    <w:p w14:paraId="37C970B2" w14:textId="58299049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2046A0">
        <w:rPr>
          <w:rFonts w:ascii="Arial" w:hAnsi="Arial" w:cs="Arial"/>
          <w:sz w:val="20"/>
          <w:szCs w:val="20"/>
        </w:rPr>
        <w:t>Pročelnici</w:t>
      </w:r>
      <w:r>
        <w:rPr>
          <w:rFonts w:ascii="Arial" w:hAnsi="Arial" w:cs="Arial"/>
          <w:sz w:val="20"/>
          <w:szCs w:val="20"/>
        </w:rPr>
        <w:t xml:space="preserve"> upravn</w:t>
      </w:r>
      <w:r w:rsidR="002046A0">
        <w:rPr>
          <w:rFonts w:ascii="Arial" w:hAnsi="Arial" w:cs="Arial"/>
          <w:sz w:val="20"/>
          <w:szCs w:val="20"/>
        </w:rPr>
        <w:t>ih</w:t>
      </w:r>
      <w:r>
        <w:rPr>
          <w:rFonts w:ascii="Arial" w:hAnsi="Arial" w:cs="Arial"/>
          <w:sz w:val="20"/>
          <w:szCs w:val="20"/>
        </w:rPr>
        <w:t xml:space="preserve"> odjela gradske uprave i čelni</w:t>
      </w:r>
      <w:r w:rsidR="00D30CBA">
        <w:rPr>
          <w:rFonts w:ascii="Arial" w:hAnsi="Arial" w:cs="Arial"/>
          <w:sz w:val="20"/>
          <w:szCs w:val="20"/>
        </w:rPr>
        <w:t>ci</w:t>
      </w:r>
      <w:r>
        <w:rPr>
          <w:rFonts w:ascii="Arial" w:hAnsi="Arial" w:cs="Arial"/>
          <w:sz w:val="20"/>
          <w:szCs w:val="20"/>
        </w:rPr>
        <w:t xml:space="preserve"> pravne osobe proračunskog korisnika, odnosno osoba na koje je to pravo preneseno, mora prije isplate provjeriti i potvrditi potpisom pravni temelj i visinu obveze koja proizlazi iz knjigovodstvene isprave.</w:t>
      </w:r>
    </w:p>
    <w:p w14:paraId="37C970B3" w14:textId="4CC9AD1C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Nalog za isplatu iz Proračuna s oznakom pozicije, konta i programa izdaje </w:t>
      </w:r>
      <w:r w:rsidR="00D30CBA">
        <w:rPr>
          <w:rFonts w:ascii="Arial" w:hAnsi="Arial" w:cs="Arial"/>
          <w:sz w:val="20"/>
          <w:szCs w:val="20"/>
        </w:rPr>
        <w:t>pročelnik upravnog odjela za razvoj i financije</w:t>
      </w:r>
      <w:r>
        <w:rPr>
          <w:rFonts w:ascii="Arial" w:hAnsi="Arial" w:cs="Arial"/>
          <w:sz w:val="20"/>
          <w:szCs w:val="20"/>
        </w:rPr>
        <w:t>.</w:t>
      </w:r>
    </w:p>
    <w:p w14:paraId="37C970B4" w14:textId="5B6AA0AF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B1F6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redstva za plaće, materijalne rashode i programe koja su u Posebnom dijelu Proračuna osigurana ustanovama i Javnoj vatrogasnoj postrojbi, </w:t>
      </w:r>
      <w:r w:rsidR="00EE2DF3">
        <w:rPr>
          <w:rFonts w:ascii="Arial" w:hAnsi="Arial" w:cs="Arial"/>
          <w:sz w:val="20"/>
          <w:szCs w:val="20"/>
        </w:rPr>
        <w:t xml:space="preserve">stavljaju se na raspolaganje na osnovu </w:t>
      </w:r>
      <w:r w:rsidR="005C3FF2">
        <w:rPr>
          <w:rFonts w:ascii="Arial" w:hAnsi="Arial" w:cs="Arial"/>
          <w:sz w:val="20"/>
          <w:szCs w:val="20"/>
        </w:rPr>
        <w:t>zahtjeva</w:t>
      </w:r>
      <w:r>
        <w:rPr>
          <w:rFonts w:ascii="Arial" w:hAnsi="Arial" w:cs="Arial"/>
          <w:sz w:val="20"/>
          <w:szCs w:val="20"/>
        </w:rPr>
        <w:t xml:space="preserve"> za </w:t>
      </w:r>
      <w:r w:rsidR="00491591">
        <w:rPr>
          <w:rFonts w:ascii="Arial" w:hAnsi="Arial" w:cs="Arial"/>
          <w:sz w:val="20"/>
          <w:szCs w:val="20"/>
        </w:rPr>
        <w:t>isplatu</w:t>
      </w:r>
      <w:r>
        <w:rPr>
          <w:rFonts w:ascii="Arial" w:hAnsi="Arial" w:cs="Arial"/>
          <w:sz w:val="20"/>
          <w:szCs w:val="20"/>
        </w:rPr>
        <w:t xml:space="preserve"> sredstava </w:t>
      </w:r>
      <w:r w:rsidR="00C83C8C">
        <w:rPr>
          <w:rFonts w:ascii="Arial" w:hAnsi="Arial" w:cs="Arial"/>
          <w:sz w:val="20"/>
          <w:szCs w:val="20"/>
        </w:rPr>
        <w:t>putem Lokalne riznice.</w:t>
      </w:r>
    </w:p>
    <w:p w14:paraId="37C970B5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B6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10.</w:t>
      </w:r>
    </w:p>
    <w:p w14:paraId="37C970B7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B8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Postupak nabave roba, radova i usluga mora se temeljiti na propisima o javnoj nabavi.</w:t>
      </w:r>
    </w:p>
    <w:p w14:paraId="37C970B9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BA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11.</w:t>
      </w:r>
    </w:p>
    <w:p w14:paraId="37C970BB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BE" w14:textId="62B357BB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Proračunskim korisnicima kojima se u Proračunu osiguravaju sredstva za plaće zaposlenih, isplaćivat će se sredstva za ostala materijalna prava zaposlenih prema njihovim općim aktima do visine utvrđene tim aktima, kolektivnim ugovorom i osiguranim sredstvima.</w:t>
      </w:r>
    </w:p>
    <w:p w14:paraId="37C970BF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C0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12.</w:t>
      </w:r>
    </w:p>
    <w:p w14:paraId="37C970C1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C2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Sredstva za rad političkih stranaka zastupljenih u Gradskom vijeću, naknade troškova za rad članova Gradskog vijeća i njegovih radnih tijela, isplaćivat će se temeljem Odluka Gradskog vijeća.</w:t>
      </w:r>
    </w:p>
    <w:p w14:paraId="37C970C3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C4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13.</w:t>
      </w:r>
    </w:p>
    <w:p w14:paraId="37C970C5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C6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Pogrešno ili više uplaćeni prihodi  Proračuna, vraćaju se uplatiteljima na teret tih prihoda.</w:t>
      </w:r>
    </w:p>
    <w:p w14:paraId="37C970C7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Pogrešno ili više uplaćeni prihodi u proračune prethodnih godina, vraćaju se uplatiteljima na teret rashoda Proračuna.</w:t>
      </w:r>
    </w:p>
    <w:p w14:paraId="37C970C8" w14:textId="7AEA4611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  <w:t xml:space="preserve">Rješenje o povratu sredstava donosi </w:t>
      </w:r>
      <w:r w:rsidR="00091BE0">
        <w:rPr>
          <w:rFonts w:ascii="Arial" w:hAnsi="Arial" w:cs="Arial"/>
          <w:sz w:val="20"/>
          <w:szCs w:val="20"/>
        </w:rPr>
        <w:t>Upravni odjel za razvoj i financije</w:t>
      </w:r>
      <w:r>
        <w:rPr>
          <w:rFonts w:ascii="Arial" w:hAnsi="Arial" w:cs="Arial"/>
          <w:sz w:val="20"/>
          <w:szCs w:val="20"/>
        </w:rPr>
        <w:t xml:space="preserve"> na temelju dokumentiranog zahtjeva kojeg potpisuje </w:t>
      </w:r>
      <w:r w:rsidR="00AD23F6">
        <w:rPr>
          <w:rFonts w:ascii="Arial" w:hAnsi="Arial" w:cs="Arial"/>
          <w:sz w:val="20"/>
          <w:szCs w:val="20"/>
        </w:rPr>
        <w:t>pročelnik</w:t>
      </w:r>
      <w:r>
        <w:rPr>
          <w:rFonts w:ascii="Arial" w:hAnsi="Arial" w:cs="Arial"/>
          <w:sz w:val="20"/>
          <w:szCs w:val="20"/>
        </w:rPr>
        <w:t>.</w:t>
      </w:r>
    </w:p>
    <w:p w14:paraId="37C970C9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CA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14.</w:t>
      </w:r>
    </w:p>
    <w:p w14:paraId="37C970CB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CC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Gradonačelnik može na zahtjev dužnika odgoditi plaćanje ili odobriti obročnu otplatu duga po osnovi javnih i nejavnih davanja u skladu sa Zakonskim i pod zakonskim propisima, ukoliko bi se na taj način poboljšala dužnikova mogućnost otplate duga, odnosno ako bi naplata duga u cijelosti dovela do nelikvidnosti (blokade računa) dužnika.</w:t>
      </w:r>
    </w:p>
    <w:p w14:paraId="37C970CD" w14:textId="77777777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Gradonačelnik može otpisati u cijelosti ili djelomično otpisati potraživanja Grada ako bi troškovi postupka naplate potraživanja bili u nesrazmjeru s visinom potraživanja, odnosno zbog drugih opravdanih razloga, u skladu s propisima.</w:t>
      </w:r>
    </w:p>
    <w:p w14:paraId="37C970CE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CF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15.</w:t>
      </w:r>
    </w:p>
    <w:p w14:paraId="37C970D0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D1" w14:textId="4CEC905E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Instrumente osiguranja plaćanja, kojima se na teret Proračuna stvaraju obveze, izdaje </w:t>
      </w:r>
      <w:r w:rsidR="001F6621">
        <w:rPr>
          <w:rFonts w:ascii="Arial" w:hAnsi="Arial" w:cs="Arial"/>
          <w:sz w:val="20"/>
          <w:szCs w:val="20"/>
        </w:rPr>
        <w:t>Upravni odjel za razvoj i financije</w:t>
      </w:r>
      <w:r>
        <w:rPr>
          <w:rFonts w:ascii="Arial" w:hAnsi="Arial" w:cs="Arial"/>
          <w:sz w:val="20"/>
          <w:szCs w:val="20"/>
        </w:rPr>
        <w:t>, a potpisuje gradonačelnik.</w:t>
      </w:r>
    </w:p>
    <w:p w14:paraId="37C970D2" w14:textId="09B5EB26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Instrumenti osiguranja plaćanja primljeni od pravnih osoba kao sredstvo osiguranja naplate potraživanja ili izvođenja radova i usluga, dostavljaju se </w:t>
      </w:r>
      <w:r w:rsidR="00A03044">
        <w:rPr>
          <w:rFonts w:ascii="Arial" w:hAnsi="Arial" w:cs="Arial"/>
          <w:sz w:val="20"/>
          <w:szCs w:val="20"/>
        </w:rPr>
        <w:t>Upravnom odjelu za razvoj i financije.</w:t>
      </w:r>
    </w:p>
    <w:p w14:paraId="37C970D3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D4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16.</w:t>
      </w:r>
    </w:p>
    <w:p w14:paraId="37C970D5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D6" w14:textId="1534B0E3" w:rsidR="00EC2FE9" w:rsidRPr="0016755E" w:rsidRDefault="004D7B1E">
      <w:pPr>
        <w:pStyle w:val="Tijeloteksta"/>
        <w:jc w:val="both"/>
        <w:rPr>
          <w:rFonts w:ascii="Arial" w:hAnsi="Arial" w:cs="Arial"/>
          <w:b w:val="0"/>
          <w:sz w:val="20"/>
          <w:lang w:val="hr-HR"/>
        </w:rPr>
      </w:pPr>
      <w:r w:rsidRPr="0016755E">
        <w:rPr>
          <w:rFonts w:ascii="Arial" w:hAnsi="Arial" w:cs="Arial"/>
          <w:sz w:val="20"/>
          <w:lang w:val="hr-HR"/>
        </w:rPr>
        <w:tab/>
      </w:r>
      <w:r w:rsidRPr="0016755E">
        <w:rPr>
          <w:rFonts w:ascii="Arial" w:hAnsi="Arial" w:cs="Arial"/>
          <w:b w:val="0"/>
          <w:sz w:val="20"/>
          <w:lang w:val="hr-HR"/>
        </w:rPr>
        <w:t xml:space="preserve">Gradonačelnik odobrava preraspodjelu sredstava na proračunskim stavkama najviše do 5% </w:t>
      </w:r>
      <w:r w:rsidR="00123253">
        <w:rPr>
          <w:rFonts w:ascii="Arial" w:hAnsi="Arial" w:cs="Arial"/>
          <w:b w:val="0"/>
          <w:sz w:val="20"/>
          <w:lang w:val="hr-HR"/>
        </w:rPr>
        <w:t>na razini skupine ekonomske klasifikacije koju donosi</w:t>
      </w:r>
      <w:r w:rsidR="00480DC5">
        <w:rPr>
          <w:rFonts w:ascii="Arial" w:hAnsi="Arial" w:cs="Arial"/>
          <w:b w:val="0"/>
          <w:sz w:val="20"/>
          <w:lang w:val="hr-HR"/>
        </w:rPr>
        <w:t xml:space="preserve"> Gradsko vijeće koja se um</w:t>
      </w:r>
      <w:r w:rsidR="00D201EC">
        <w:rPr>
          <w:rFonts w:ascii="Arial" w:hAnsi="Arial" w:cs="Arial"/>
          <w:b w:val="0"/>
          <w:sz w:val="20"/>
          <w:lang w:val="hr-HR"/>
        </w:rPr>
        <w:t>anjuje i to unutar izvora financiranja opći prihodi i primici i unutar izvora financiranja namjenski primici.</w:t>
      </w:r>
    </w:p>
    <w:p w14:paraId="37C970D7" w14:textId="77777777" w:rsidR="00EC2FE9" w:rsidRPr="0016755E" w:rsidRDefault="004D7B1E">
      <w:pPr>
        <w:pStyle w:val="Tijeloteksta"/>
        <w:jc w:val="both"/>
        <w:rPr>
          <w:rFonts w:ascii="Arial" w:hAnsi="Arial" w:cs="Arial"/>
          <w:b w:val="0"/>
          <w:sz w:val="20"/>
          <w:lang w:val="hr-HR"/>
        </w:rPr>
      </w:pPr>
      <w:r w:rsidRPr="0016755E">
        <w:rPr>
          <w:rFonts w:ascii="Arial" w:hAnsi="Arial" w:cs="Arial"/>
          <w:b w:val="0"/>
          <w:sz w:val="20"/>
          <w:lang w:val="hr-HR"/>
        </w:rPr>
        <w:tab/>
        <w:t>Gradonačelnik je o preraspodjeli sredstava obvezan izvijestiti Gradsko vijeće prilikom podnošenja polugodišnjeg i godišnjeg izvještaja o izvršenju Proračuna.</w:t>
      </w:r>
    </w:p>
    <w:p w14:paraId="37C970D8" w14:textId="77777777" w:rsidR="00EC2FE9" w:rsidRDefault="004D7B1E">
      <w:pPr>
        <w:pStyle w:val="Tijeloteksta"/>
        <w:ind w:firstLine="708"/>
        <w:jc w:val="both"/>
        <w:rPr>
          <w:rFonts w:ascii="Arial" w:hAnsi="Arial" w:cs="Arial"/>
          <w:b w:val="0"/>
          <w:sz w:val="20"/>
          <w:lang w:val="hr-HR"/>
        </w:rPr>
      </w:pPr>
      <w:r>
        <w:rPr>
          <w:rFonts w:ascii="Arial" w:hAnsi="Arial" w:cs="Arial"/>
          <w:b w:val="0"/>
          <w:sz w:val="20"/>
          <w:lang w:val="hr-HR"/>
        </w:rPr>
        <w:t>Ako tijekom godine dođe do znatnije neusklađenosti ostvarivanja planiranih prihoda/primitaka i rashoda/ izdataka Proračuna, predložit će se Gradskom vijeću  donošenje  izmjena i dopuna Proračuna.</w:t>
      </w:r>
    </w:p>
    <w:p w14:paraId="37C970D9" w14:textId="77777777" w:rsidR="00EC2FE9" w:rsidRPr="0016755E" w:rsidRDefault="004D7B1E">
      <w:pPr>
        <w:pStyle w:val="Tijeloteksta"/>
        <w:tabs>
          <w:tab w:val="left" w:pos="-720"/>
        </w:tabs>
        <w:ind w:firstLine="360"/>
        <w:jc w:val="both"/>
        <w:rPr>
          <w:rFonts w:ascii="Arial" w:hAnsi="Arial" w:cs="Arial"/>
          <w:sz w:val="20"/>
          <w:lang w:val="hr-HR"/>
        </w:rPr>
      </w:pPr>
      <w:r>
        <w:rPr>
          <w:rFonts w:ascii="Arial" w:hAnsi="Arial" w:cs="Arial"/>
          <w:b w:val="0"/>
          <w:sz w:val="20"/>
          <w:lang w:val="hr-HR"/>
        </w:rPr>
        <w:t xml:space="preserve">      </w:t>
      </w:r>
    </w:p>
    <w:p w14:paraId="37C970DA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17.</w:t>
      </w:r>
    </w:p>
    <w:p w14:paraId="37C970DB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DC" w14:textId="5AA5F1D3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U Proračunu su planirana sredstva proračunske zalihe u ukupnom iznosu od </w:t>
      </w:r>
      <w:r w:rsidR="00180ED9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>.</w:t>
      </w:r>
      <w:r w:rsidR="00180ED9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00,00 eura, koja će se koristiti za zakonski utvrđene namjene. O korištenju proračunske zalihe odlučuje Gradonačelnik i o tome izvještava Gradsko vijeće.</w:t>
      </w:r>
    </w:p>
    <w:p w14:paraId="37C970DD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DE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18.</w:t>
      </w:r>
    </w:p>
    <w:p w14:paraId="37C970DF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E0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Grad se može zaduživati uzimanjem kredita, zajmova i izdavanjem vrijednosnih papira, u skladu sa Zakonom i pozitivnim propisima.</w:t>
      </w:r>
    </w:p>
    <w:p w14:paraId="37C970E1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Grad može dati jamstvo za ispunjenje obveza pravnoj osobi u većinskom izravnom ili neizravnom vlasništvu Grada ili ustanovi čiji je osnivač, uz prethodnu suglasnost ministra financija. Dana jamstva uključuju se u opseg zaduživanja Grada.</w:t>
      </w:r>
    </w:p>
    <w:p w14:paraId="37C970E2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Pravna osoba u većinskom izravnom ili neizravnom vlasništvu Grada i ustanova čiji je osnivač Grad može se dugoročno zaduživati samo uz suglasnost Gradonačelnika.</w:t>
      </w:r>
    </w:p>
    <w:p w14:paraId="37C970E3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7C970E4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E5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19.</w:t>
      </w:r>
    </w:p>
    <w:p w14:paraId="37C970E6" w14:textId="77777777" w:rsidR="00EC2FE9" w:rsidRDefault="00EC2FE9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7C970E7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Grad se može kratkoročno zadužiti najduže do 12 mjeseci isključivo za premošćivanje jaza nastalog zbog različite dinamike priljeva sredstava i dospijeća obveza u suglasju sa Zakonom o proračunu.</w:t>
      </w:r>
    </w:p>
    <w:p w14:paraId="37C970E8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Odluku o kreditnom zaduženju iz stavka 1. ovog članka donosi Gradonačelnik.</w:t>
      </w:r>
    </w:p>
    <w:p w14:paraId="37C970E9" w14:textId="77777777" w:rsidR="00EC2FE9" w:rsidRPr="0016755E" w:rsidRDefault="004D7B1E">
      <w:pPr>
        <w:pStyle w:val="Tijeloteksta"/>
        <w:jc w:val="both"/>
        <w:rPr>
          <w:rFonts w:ascii="Arial" w:hAnsi="Arial" w:cs="Arial"/>
          <w:sz w:val="20"/>
          <w:lang w:val="hr-HR"/>
        </w:rPr>
      </w:pPr>
      <w:r w:rsidRPr="0016755E">
        <w:rPr>
          <w:rFonts w:ascii="Arial" w:hAnsi="Arial" w:cs="Arial"/>
          <w:sz w:val="20"/>
          <w:lang w:val="hr-HR"/>
        </w:rPr>
        <w:tab/>
      </w:r>
    </w:p>
    <w:p w14:paraId="37C970EA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20.</w:t>
      </w:r>
    </w:p>
    <w:p w14:paraId="37C970EB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EC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Raspoloživim novčanim sredstvima na računu Proračuna upravlja gradonačelnik. </w:t>
      </w:r>
    </w:p>
    <w:p w14:paraId="37C970ED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Slobodna novčana sredstva mogu se oročavati kod poslovnih banaka poštujući načela sigurnosti i likvidnosti, a odluku o oročavanju sredstava donosi Gradonačelnik.</w:t>
      </w:r>
    </w:p>
    <w:p w14:paraId="37C970EE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Gradonačelnik može, sukladno zakonskim propisima, Ustanovama i društvima  u vlasništvu Grada Malog Lošinja, iz likvidnih sredstava Proračuna odobriti kratkoročnu beskamatnu pozajmicu uz adekvatno osiguranje povrata pozajmice.</w:t>
      </w:r>
    </w:p>
    <w:p w14:paraId="37C970EF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Prihodi od upravljanja raspoloživim novčanim sredstvima prihodi su Proračuna.</w:t>
      </w:r>
    </w:p>
    <w:p w14:paraId="37C970F0" w14:textId="371BF4B9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Novčana sredstva iz stavka 1. ovog članka mogu se ulagati samo s povratom do 31. prosinca 202</w:t>
      </w:r>
      <w:r w:rsidR="009E1113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lastRenderedPageBreak/>
        <w:t>godine.</w:t>
      </w:r>
    </w:p>
    <w:p w14:paraId="37C970F1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21.</w:t>
      </w:r>
    </w:p>
    <w:p w14:paraId="37C970F2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F3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Tijela gradske uprave upravljaju nefinancijskom dugotrajnom imovinom Grada koju posjeduju za obavljanje poslova iz svoga djelokruga rada, sukladno općim aktima Grada.</w:t>
      </w:r>
    </w:p>
    <w:p w14:paraId="37C970F4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Sredstva za održavanje i osiguravanje dugotrajne nefinancijske imovine osiguravaju se u rashodima poslovanja nadležnih tijela gradske uprave.</w:t>
      </w:r>
    </w:p>
    <w:p w14:paraId="37C970F5" w14:textId="2ECEB47D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Poslove sklapanja ugovora s osiguravateljima i naplatu šteta obavlja </w:t>
      </w:r>
      <w:r w:rsidR="009E0424">
        <w:rPr>
          <w:rFonts w:ascii="Arial" w:hAnsi="Arial" w:cs="Arial"/>
          <w:sz w:val="20"/>
          <w:szCs w:val="20"/>
        </w:rPr>
        <w:t>Upravni odjel za razvoj i financije</w:t>
      </w:r>
      <w:r>
        <w:rPr>
          <w:rFonts w:ascii="Arial" w:hAnsi="Arial" w:cs="Arial"/>
          <w:sz w:val="20"/>
          <w:szCs w:val="20"/>
        </w:rPr>
        <w:t>.</w:t>
      </w:r>
    </w:p>
    <w:p w14:paraId="37C970F6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22.</w:t>
      </w:r>
    </w:p>
    <w:p w14:paraId="37C970F7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F8" w14:textId="22388312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Knjigovodstvena evidencija nefinancijske dugotrajne imovine Grada vodi se u </w:t>
      </w:r>
      <w:r w:rsidR="00050F6C">
        <w:rPr>
          <w:rFonts w:ascii="Arial" w:hAnsi="Arial" w:cs="Arial"/>
          <w:sz w:val="20"/>
          <w:szCs w:val="20"/>
        </w:rPr>
        <w:t>Upravnom odjelu za razvoj i financije.</w:t>
      </w:r>
    </w:p>
    <w:p w14:paraId="37C970F9" w14:textId="56CEA4A4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C74E3">
        <w:rPr>
          <w:rFonts w:ascii="Arial" w:hAnsi="Arial" w:cs="Arial"/>
          <w:sz w:val="20"/>
          <w:szCs w:val="20"/>
        </w:rPr>
        <w:t>Pročelnik upravnog odjela</w:t>
      </w:r>
      <w:r w:rsidR="003D0B81">
        <w:rPr>
          <w:rFonts w:ascii="Arial" w:hAnsi="Arial" w:cs="Arial"/>
          <w:sz w:val="20"/>
          <w:szCs w:val="20"/>
        </w:rPr>
        <w:t xml:space="preserve"> za opće, pravne poslove i samoupravu</w:t>
      </w:r>
      <w:r>
        <w:rPr>
          <w:rFonts w:ascii="Arial" w:hAnsi="Arial" w:cs="Arial"/>
          <w:sz w:val="20"/>
          <w:szCs w:val="20"/>
        </w:rPr>
        <w:t xml:space="preserve"> koji upravlja imovinom Grada duž</w:t>
      </w:r>
      <w:r w:rsidR="005647D0">
        <w:rPr>
          <w:rFonts w:ascii="Arial" w:hAnsi="Arial" w:cs="Arial"/>
          <w:sz w:val="20"/>
          <w:szCs w:val="20"/>
        </w:rPr>
        <w:t>an je</w:t>
      </w:r>
      <w:r>
        <w:rPr>
          <w:rFonts w:ascii="Arial" w:hAnsi="Arial" w:cs="Arial"/>
          <w:sz w:val="20"/>
          <w:szCs w:val="20"/>
        </w:rPr>
        <w:t xml:space="preserve"> </w:t>
      </w:r>
      <w:r w:rsidR="005647D0">
        <w:rPr>
          <w:rFonts w:ascii="Arial" w:hAnsi="Arial" w:cs="Arial"/>
          <w:sz w:val="20"/>
          <w:szCs w:val="20"/>
        </w:rPr>
        <w:t>Upravnom odjelu</w:t>
      </w:r>
      <w:r w:rsidR="000859DB">
        <w:rPr>
          <w:rFonts w:ascii="Arial" w:hAnsi="Arial" w:cs="Arial"/>
          <w:sz w:val="20"/>
          <w:szCs w:val="20"/>
        </w:rPr>
        <w:t xml:space="preserve"> za razvoj i financije</w:t>
      </w:r>
      <w:r>
        <w:rPr>
          <w:rFonts w:ascii="Arial" w:hAnsi="Arial" w:cs="Arial"/>
          <w:sz w:val="20"/>
          <w:szCs w:val="20"/>
        </w:rPr>
        <w:t xml:space="preserve"> dostaviti podatke o svakoj poslovnoj promjeni na imovini kojom upravlja.</w:t>
      </w:r>
    </w:p>
    <w:p w14:paraId="37C970FA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23.</w:t>
      </w:r>
    </w:p>
    <w:p w14:paraId="37C970FB" w14:textId="77777777" w:rsidR="00EC2FE9" w:rsidRDefault="00EC2FE9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0FC" w14:textId="44A3AB5F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131CFB">
        <w:rPr>
          <w:rFonts w:ascii="Arial" w:hAnsi="Arial" w:cs="Arial"/>
          <w:sz w:val="20"/>
          <w:szCs w:val="20"/>
        </w:rPr>
        <w:t>Upravni odjel za razvoj i financije</w:t>
      </w:r>
      <w:r>
        <w:rPr>
          <w:rFonts w:ascii="Arial" w:hAnsi="Arial" w:cs="Arial"/>
          <w:sz w:val="20"/>
          <w:szCs w:val="20"/>
        </w:rPr>
        <w:t xml:space="preserve"> izrađuje i dostavlja Gradonačelniku polugodišnji i godišnji izvještaj o izvršenju Proračuna u rokovima propisanim Zakonom o proračunu.</w:t>
      </w:r>
    </w:p>
    <w:p w14:paraId="37C970FD" w14:textId="77777777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Gradonačelnik podnosi polugodišnji i godišnji izvještaj o izvršenju Proračuna gradskom vijeću u rokovima propisanim Zakonom o proračunu.</w:t>
      </w:r>
    </w:p>
    <w:p w14:paraId="37C970FE" w14:textId="32CE4124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Proračunski korisnici dužni su dostaviti kvartalne, polugodišnje i godišnje financijske izvještaje s bilješkama i ostvarenjem financijskog plana na razini osnovnog računa (peta razina računskog plana) </w:t>
      </w:r>
      <w:r w:rsidR="00614512">
        <w:rPr>
          <w:rFonts w:ascii="Arial" w:hAnsi="Arial" w:cs="Arial"/>
          <w:sz w:val="20"/>
          <w:szCs w:val="20"/>
        </w:rPr>
        <w:t>u</w:t>
      </w:r>
      <w:r w:rsidR="00955471">
        <w:rPr>
          <w:rFonts w:ascii="Arial" w:hAnsi="Arial" w:cs="Arial"/>
          <w:sz w:val="20"/>
          <w:szCs w:val="20"/>
        </w:rPr>
        <w:t>pravnom odjelu za razvoj i financije</w:t>
      </w:r>
      <w:r>
        <w:rPr>
          <w:rFonts w:ascii="Arial" w:hAnsi="Arial" w:cs="Arial"/>
          <w:sz w:val="20"/>
          <w:szCs w:val="20"/>
        </w:rPr>
        <w:t xml:space="preserve">  najkasnije u roku od 8 dana od isteka roka za predaju navedenih izvještaja utvrđenih Pravilnikom o financijskom izvještavanju u proračunskom računovodstvu.</w:t>
      </w:r>
    </w:p>
    <w:p w14:paraId="37C970FF" w14:textId="5BB92D9E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Proračunski korisnici dužni su dostaviti polugodišnji i godišnji izvještaj o poslovanju (ostvarenje financijskog plana i izvještaj o radu) nadležnom </w:t>
      </w:r>
      <w:r w:rsidR="002D1920">
        <w:rPr>
          <w:rFonts w:ascii="Arial" w:hAnsi="Arial" w:cs="Arial"/>
          <w:sz w:val="20"/>
          <w:szCs w:val="20"/>
        </w:rPr>
        <w:t>upravnom odjelu</w:t>
      </w:r>
      <w:r w:rsidR="00614512">
        <w:rPr>
          <w:rFonts w:ascii="Arial" w:hAnsi="Arial" w:cs="Arial"/>
          <w:sz w:val="20"/>
          <w:szCs w:val="20"/>
        </w:rPr>
        <w:t xml:space="preserve"> gradske uprave</w:t>
      </w:r>
      <w:r>
        <w:rPr>
          <w:rFonts w:ascii="Arial" w:hAnsi="Arial" w:cs="Arial"/>
          <w:sz w:val="20"/>
          <w:szCs w:val="20"/>
        </w:rPr>
        <w:t>, najkasnije u roku od 15 dana od isteka roka za predaju polugodišnjeg i godišnjeg financijskog izvještaja utvrđenog Pravilnikom o financijskom izvještavanju u proračunskom računovodstvu.</w:t>
      </w:r>
    </w:p>
    <w:p w14:paraId="37C97100" w14:textId="6CA62059" w:rsidR="00EC2FE9" w:rsidRDefault="004D7B1E">
      <w:pPr>
        <w:pStyle w:val="StandardWeb"/>
        <w:spacing w:before="0"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Trgovačko društvo kojem je Grad osnivač ili većinski vlasnik dužno je dostaviti godišnji izvještaj o poslovanju (ostvarenje financijskog plana i izvještaj o radu) nadležnom </w:t>
      </w:r>
      <w:r w:rsidR="007F036B">
        <w:rPr>
          <w:rFonts w:ascii="Arial" w:hAnsi="Arial" w:cs="Arial"/>
          <w:sz w:val="20"/>
          <w:szCs w:val="20"/>
        </w:rPr>
        <w:t>upravnom odjelu</w:t>
      </w:r>
      <w:r>
        <w:rPr>
          <w:rFonts w:ascii="Arial" w:hAnsi="Arial" w:cs="Arial"/>
          <w:sz w:val="20"/>
          <w:szCs w:val="20"/>
        </w:rPr>
        <w:t xml:space="preserve"> gradske uprave, najkasnije u roku od 15 dana od isteka roka za predaju godišnjeg financijskog izvještaja utvrđenog Zakonom o računovodstvu.</w:t>
      </w:r>
    </w:p>
    <w:p w14:paraId="37C97101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24.</w:t>
      </w:r>
    </w:p>
    <w:p w14:paraId="37C97102" w14:textId="77777777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7C97103" w14:textId="3A2FD924" w:rsidR="00EC2FE9" w:rsidRDefault="000E1223">
      <w:pPr>
        <w:pStyle w:val="Tijeloteksta"/>
        <w:ind w:firstLine="360"/>
        <w:jc w:val="both"/>
        <w:rPr>
          <w:rFonts w:ascii="Arial" w:hAnsi="Arial" w:cs="Arial"/>
          <w:b w:val="0"/>
          <w:sz w:val="20"/>
          <w:lang w:val="hr-HR"/>
        </w:rPr>
      </w:pPr>
      <w:r>
        <w:rPr>
          <w:rFonts w:ascii="Arial" w:hAnsi="Arial" w:cs="Arial"/>
          <w:b w:val="0"/>
          <w:sz w:val="20"/>
          <w:lang w:val="hr-HR"/>
        </w:rPr>
        <w:t>Upravni odjel za razvoj i financije</w:t>
      </w:r>
      <w:r w:rsidR="004D7B1E">
        <w:rPr>
          <w:rFonts w:ascii="Arial" w:hAnsi="Arial" w:cs="Arial"/>
          <w:b w:val="0"/>
          <w:sz w:val="20"/>
          <w:lang w:val="hr-HR"/>
        </w:rPr>
        <w:t xml:space="preserve"> ima pravo nadzora i revizije nad financijskim, materijalnim i računovodstvenim poslovanjem korisnika sredstava proračuna, te nad zakonitošću i svrsishodnom uporabom proračunskih sredstava.</w:t>
      </w:r>
    </w:p>
    <w:p w14:paraId="37C97104" w14:textId="77777777" w:rsidR="00EC2FE9" w:rsidRDefault="004D7B1E">
      <w:pPr>
        <w:ind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Proračunski korisnici obvezni su omogućiti uvid u dokumentaciju potrebnu za provođenje nadzora.</w:t>
      </w:r>
    </w:p>
    <w:p w14:paraId="37C9710A" w14:textId="06BF79EC" w:rsidR="00EC2FE9" w:rsidRDefault="004D7B1E" w:rsidP="00DE2832">
      <w:pPr>
        <w:pStyle w:val="Tijeloteksta3"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se prilikom obavljanja proračunskog nadzora i revizije utvrdi da su sredstva bila upotrijebljena protivno Zakonu ili Proračunu, izvijestit će se Gradonačelnik i poduzeti mjere da se nadoknade tako utrošena sredstva ili će se privremeno obustaviti isplata sredstava s pozicija s kojih su sredstva bila nenamjenski utrošena.</w:t>
      </w:r>
    </w:p>
    <w:p w14:paraId="37C9710C" w14:textId="321803E2" w:rsidR="00EC2FE9" w:rsidRDefault="004D7B1E" w:rsidP="00BE0520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25.</w:t>
      </w:r>
    </w:p>
    <w:p w14:paraId="088D9BBE" w14:textId="77777777" w:rsidR="00597416" w:rsidRDefault="00597416" w:rsidP="00BE0520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37C9710D" w14:textId="0AF80168" w:rsidR="00EC2FE9" w:rsidRDefault="004D7B1E">
      <w:pPr>
        <w:pStyle w:val="StandardWeb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Ova Odluka stupa na snagu u roku od osam dana od dana objave u Službenim novinama </w:t>
      </w:r>
      <w:r w:rsidR="00BE0520">
        <w:rPr>
          <w:rFonts w:ascii="Arial" w:hAnsi="Arial" w:cs="Arial"/>
          <w:sz w:val="20"/>
          <w:szCs w:val="20"/>
        </w:rPr>
        <w:t>Grada Malog Lošinja</w:t>
      </w:r>
      <w:r>
        <w:rPr>
          <w:rFonts w:ascii="Arial" w:hAnsi="Arial" w:cs="Arial"/>
          <w:sz w:val="20"/>
          <w:szCs w:val="20"/>
        </w:rPr>
        <w:t>, a primjenjuje se od 1. siječnja 202</w:t>
      </w:r>
      <w:r w:rsidR="00D70D3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 godine.</w:t>
      </w:r>
    </w:p>
    <w:p w14:paraId="37C9710E" w14:textId="77777777" w:rsidR="00EC2FE9" w:rsidRDefault="00EC2FE9">
      <w:pPr>
        <w:pStyle w:val="StandardWeb"/>
        <w:spacing w:before="0" w:after="0"/>
        <w:rPr>
          <w:rFonts w:ascii="Arial" w:hAnsi="Arial" w:cs="Arial"/>
          <w:i/>
          <w:iCs/>
          <w:sz w:val="20"/>
          <w:szCs w:val="20"/>
        </w:rPr>
      </w:pPr>
    </w:p>
    <w:p w14:paraId="37C9710F" w14:textId="395A8791" w:rsidR="00EC2FE9" w:rsidRDefault="004D7B1E">
      <w:pPr>
        <w:pStyle w:val="StandardWeb"/>
        <w:spacing w:before="0" w:after="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KLASA: </w:t>
      </w:r>
      <w:r>
        <w:rPr>
          <w:rFonts w:ascii="Arial" w:hAnsi="Arial" w:cstheme="minorHAnsi"/>
          <w:iCs/>
          <w:sz w:val="20"/>
          <w:szCs w:val="20"/>
        </w:rPr>
        <w:t>400-01/2</w:t>
      </w:r>
      <w:r w:rsidR="00DD0EDA">
        <w:rPr>
          <w:rFonts w:ascii="Arial" w:hAnsi="Arial" w:cstheme="minorHAnsi"/>
          <w:iCs/>
          <w:sz w:val="20"/>
          <w:szCs w:val="20"/>
        </w:rPr>
        <w:t>6</w:t>
      </w:r>
      <w:r>
        <w:rPr>
          <w:rFonts w:ascii="Arial" w:hAnsi="Arial" w:cstheme="minorHAnsi"/>
          <w:iCs/>
          <w:sz w:val="20"/>
          <w:szCs w:val="20"/>
        </w:rPr>
        <w:t>-01/0</w:t>
      </w:r>
    </w:p>
    <w:p w14:paraId="37C97110" w14:textId="5CA290A1" w:rsidR="00EC2FE9" w:rsidRDefault="004D7B1E">
      <w:pPr>
        <w:pStyle w:val="StandardWeb"/>
        <w:spacing w:before="0" w:after="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URBROJ: 2170-10-01-2</w:t>
      </w:r>
      <w:r w:rsidR="00DD0EDA">
        <w:rPr>
          <w:rFonts w:ascii="Arial" w:hAnsi="Arial" w:cs="Arial"/>
          <w:iCs/>
          <w:sz w:val="20"/>
          <w:szCs w:val="20"/>
        </w:rPr>
        <w:t>6</w:t>
      </w:r>
      <w:r>
        <w:rPr>
          <w:rFonts w:ascii="Arial" w:hAnsi="Arial" w:cs="Arial"/>
          <w:iCs/>
          <w:sz w:val="20"/>
          <w:szCs w:val="20"/>
        </w:rPr>
        <w:t>-</w:t>
      </w:r>
    </w:p>
    <w:p w14:paraId="37C97111" w14:textId="1FC44362" w:rsidR="00EC2FE9" w:rsidRDefault="004D7B1E">
      <w:pPr>
        <w:pStyle w:val="StandardWeb"/>
        <w:spacing w:before="0" w:after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Mali Lošinj,         202</w:t>
      </w:r>
      <w:r w:rsidR="00DD0EDA">
        <w:rPr>
          <w:rFonts w:ascii="Arial" w:hAnsi="Arial" w:cs="Arial"/>
          <w:iCs/>
          <w:sz w:val="20"/>
          <w:szCs w:val="20"/>
        </w:rPr>
        <w:t>6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72F553CB" w14:textId="77777777" w:rsidR="00DD0EDA" w:rsidRDefault="00DD0EDA">
      <w:pPr>
        <w:pStyle w:val="StandardWeb"/>
        <w:spacing w:before="0" w:after="0"/>
        <w:rPr>
          <w:rFonts w:ascii="Arial" w:hAnsi="Arial" w:cs="Arial"/>
          <w:i/>
          <w:iCs/>
          <w:sz w:val="20"/>
          <w:szCs w:val="20"/>
        </w:rPr>
      </w:pPr>
    </w:p>
    <w:p w14:paraId="37C97112" w14:textId="77777777" w:rsidR="00EC2FE9" w:rsidRDefault="00EC2FE9">
      <w:pPr>
        <w:pStyle w:val="StandardWeb"/>
        <w:spacing w:before="0" w:after="0"/>
        <w:rPr>
          <w:rFonts w:ascii="Arial" w:hAnsi="Arial" w:cs="Arial"/>
          <w:i/>
          <w:iCs/>
          <w:sz w:val="20"/>
          <w:szCs w:val="20"/>
        </w:rPr>
      </w:pPr>
    </w:p>
    <w:p w14:paraId="37C97113" w14:textId="77777777" w:rsidR="00EC2FE9" w:rsidRDefault="004D7B1E">
      <w:pPr>
        <w:pStyle w:val="StandardWeb"/>
        <w:spacing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GRAD MALI LOŠINJ</w:t>
      </w:r>
      <w:r>
        <w:rPr>
          <w:rFonts w:ascii="Arial" w:hAnsi="Arial" w:cs="Arial"/>
          <w:sz w:val="20"/>
          <w:szCs w:val="20"/>
        </w:rPr>
        <w:br/>
        <w:t>GRADSKO VIJEĆE</w:t>
      </w:r>
    </w:p>
    <w:p w14:paraId="4798A33F" w14:textId="77777777" w:rsidR="00692E79" w:rsidRDefault="004D7B1E" w:rsidP="00692E79">
      <w:pPr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Predsjednik</w:t>
      </w:r>
    </w:p>
    <w:p w14:paraId="2F03A285" w14:textId="1D9711F5" w:rsidR="00692E79" w:rsidRDefault="004D7B1E" w:rsidP="00692E79">
      <w:pPr>
        <w:ind w:left="3540"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692E79" w:rsidRPr="00692E79">
        <w:rPr>
          <w:rFonts w:ascii="Arial" w:hAnsi="Arial" w:cs="Arial"/>
          <w:color w:val="000000"/>
          <w:sz w:val="20"/>
          <w:szCs w:val="20"/>
        </w:rPr>
        <w:t xml:space="preserve">Mario </w:t>
      </w:r>
      <w:proofErr w:type="spellStart"/>
      <w:r w:rsidR="00692E79" w:rsidRPr="00692E79">
        <w:rPr>
          <w:rFonts w:ascii="Arial" w:hAnsi="Arial" w:cs="Arial"/>
          <w:color w:val="000000"/>
          <w:sz w:val="20"/>
          <w:szCs w:val="20"/>
        </w:rPr>
        <w:t>Okmažić</w:t>
      </w:r>
      <w:proofErr w:type="spellEnd"/>
      <w:r w:rsidR="00692E79" w:rsidRPr="00692E79">
        <w:rPr>
          <w:rFonts w:ascii="Arial" w:hAnsi="Arial" w:cs="Arial"/>
          <w:color w:val="000000"/>
          <w:sz w:val="20"/>
          <w:szCs w:val="20"/>
        </w:rPr>
        <w:t>, univ.bacc.</w:t>
      </w:r>
      <w:proofErr w:type="spellStart"/>
      <w:r w:rsidR="00692E79" w:rsidRPr="00692E79">
        <w:rPr>
          <w:rFonts w:ascii="Arial" w:hAnsi="Arial" w:cs="Arial"/>
          <w:color w:val="000000"/>
          <w:sz w:val="20"/>
          <w:szCs w:val="20"/>
        </w:rPr>
        <w:t>oec</w:t>
      </w:r>
      <w:proofErr w:type="spellEnd"/>
      <w:r w:rsidR="00692E79" w:rsidRPr="00692E79">
        <w:rPr>
          <w:rFonts w:ascii="Arial" w:hAnsi="Arial" w:cs="Arial"/>
          <w:color w:val="000000"/>
          <w:sz w:val="20"/>
          <w:szCs w:val="20"/>
        </w:rPr>
        <w:t>.,v.r.</w:t>
      </w:r>
    </w:p>
    <w:p w14:paraId="1C332D6B" w14:textId="77777777" w:rsidR="00DD0EDA" w:rsidRDefault="00DD0EDA" w:rsidP="00692E79">
      <w:pPr>
        <w:ind w:left="3540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389D4036" w14:textId="77777777" w:rsidR="00DD0EDA" w:rsidRDefault="00DD0EDA" w:rsidP="00692E79">
      <w:pPr>
        <w:ind w:left="3540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6F08D94A" w14:textId="77777777" w:rsidR="00DD0EDA" w:rsidRDefault="00DD0EDA" w:rsidP="00692E79">
      <w:pPr>
        <w:ind w:left="3540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576B3BDE" w14:textId="77777777" w:rsidR="00DD0EDA" w:rsidRPr="00692E79" w:rsidRDefault="00DD0EDA" w:rsidP="00692E79">
      <w:pPr>
        <w:ind w:left="3540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37C97115" w14:textId="397E8695" w:rsidR="00EC2FE9" w:rsidRPr="00692E79" w:rsidRDefault="00EC2FE9" w:rsidP="00692E79">
      <w:pPr>
        <w:pStyle w:val="StandardWeb"/>
        <w:spacing w:before="0" w:after="0"/>
        <w:jc w:val="center"/>
        <w:rPr>
          <w:rFonts w:ascii="Arial" w:hAnsi="Arial" w:cs="Arial"/>
          <w:vanish/>
          <w:sz w:val="20"/>
          <w:szCs w:val="20"/>
        </w:rPr>
      </w:pPr>
    </w:p>
    <w:p w14:paraId="37C97118" w14:textId="69F77E15" w:rsidR="00EC2FE9" w:rsidRDefault="004D7B1E" w:rsidP="00082DB6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Obrazloženje</w:t>
      </w:r>
    </w:p>
    <w:p w14:paraId="37C97119" w14:textId="304F622E" w:rsidR="00EC2FE9" w:rsidRDefault="004D7B1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Uz Odluku o izvršavanju Proračuna Grada Malog Lošinja za 202</w:t>
      </w:r>
      <w:r w:rsidR="00F41A2D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. godinu</w:t>
      </w:r>
    </w:p>
    <w:p w14:paraId="37C9711A" w14:textId="77777777" w:rsidR="00EC2FE9" w:rsidRDefault="00EC2FE9">
      <w:pPr>
        <w:jc w:val="center"/>
        <w:rPr>
          <w:rFonts w:ascii="Arial" w:hAnsi="Arial" w:cs="Arial"/>
          <w:b/>
        </w:rPr>
      </w:pPr>
    </w:p>
    <w:p w14:paraId="37C9711B" w14:textId="77777777" w:rsidR="00EC2FE9" w:rsidRDefault="004D7B1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Člankom 18. Zakona o proračunu propisana je obveza donošenja odluke o izvršavanju proračuna jedinica lokalne i područne (regionalne) samouprave, kojom se omogućava provedba usvojenog proračuna, te se u skladu sa zakonskim odredbama uređuju posebnosti koje proizlaze iz usvojenog proračuna.</w:t>
      </w:r>
    </w:p>
    <w:p w14:paraId="37C9711C" w14:textId="77777777" w:rsidR="00EC2FE9" w:rsidRDefault="00EC2FE9">
      <w:pPr>
        <w:jc w:val="both"/>
        <w:rPr>
          <w:rFonts w:ascii="Arial" w:hAnsi="Arial" w:cs="Arial"/>
          <w:sz w:val="20"/>
          <w:szCs w:val="20"/>
        </w:rPr>
      </w:pPr>
    </w:p>
    <w:p w14:paraId="37C9711D" w14:textId="0310FA5C" w:rsidR="00EC2FE9" w:rsidRDefault="004D7B1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Odlukom o izvršavanju Proračuna Grada Malog Lošinja za 202</w:t>
      </w:r>
      <w:r w:rsidR="00F41A2D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. godinu uređuje se struktura prihoda i primitaka, te rashoda i izdataka proračuna i njegovo izvršavanje, prava i obveze proračunskih korisnika, odgovornost za korištenje proračunskih sredstava sukladno namjenama i iznosima utvrđenim u Proračunu.</w:t>
      </w:r>
    </w:p>
    <w:p w14:paraId="37C9711E" w14:textId="77777777" w:rsidR="00EC2FE9" w:rsidRDefault="00EC2FE9">
      <w:pPr>
        <w:jc w:val="both"/>
        <w:rPr>
          <w:rFonts w:ascii="Arial" w:hAnsi="Arial" w:cs="Arial"/>
          <w:sz w:val="20"/>
          <w:szCs w:val="20"/>
        </w:rPr>
      </w:pPr>
    </w:p>
    <w:p w14:paraId="37C9711F" w14:textId="77777777" w:rsidR="00EC2FE9" w:rsidRDefault="004D7B1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Odlukom se propisuju i ovlasti Gradonačelnika u izvršavanju Proračuna, upravljanje financijskom i nefinancijskom dugotrajnom imovinom, zaduživanje Grada i davanje jamstva za zaduženje pravnim osobama i ustanovama kojima je Grad većinski vlasnik ili osnivač.</w:t>
      </w:r>
    </w:p>
    <w:p w14:paraId="37C97120" w14:textId="77777777" w:rsidR="00EC2FE9" w:rsidRDefault="00EC2FE9">
      <w:pPr>
        <w:jc w:val="both"/>
        <w:rPr>
          <w:rFonts w:ascii="Arial" w:hAnsi="Arial" w:cs="Arial"/>
          <w:sz w:val="20"/>
          <w:szCs w:val="20"/>
        </w:rPr>
      </w:pPr>
    </w:p>
    <w:p w14:paraId="37C97121" w14:textId="77777777" w:rsidR="00EC2FE9" w:rsidRDefault="004D7B1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planiranje i izvršavanje proračuna u cjelini odgovoran je Gradonačelnik, a pročelnik i odgovorne osobe proračunskih korisnika, odgovorni su za planiranje i izvršavanje Proračuna iz svoje nadležnosti pri čemu su dužni primjenjivati fiskalna pravila Zakona o fiskalnoj odgovornosti i osigurati učinkovito i djelotvorno funkcioniranje sustava financijskog upravljanja i kontrola kao sustava nadzora i kontrole nad trošenjem proračunskih sredstava.</w:t>
      </w:r>
    </w:p>
    <w:p w14:paraId="37C97122" w14:textId="77777777" w:rsidR="00EC2FE9" w:rsidRDefault="00EC2FE9">
      <w:pPr>
        <w:rPr>
          <w:rFonts w:ascii="Arial" w:hAnsi="Arial" w:cs="Arial"/>
          <w:sz w:val="20"/>
          <w:szCs w:val="20"/>
        </w:rPr>
      </w:pPr>
    </w:p>
    <w:p w14:paraId="37C97123" w14:textId="77777777" w:rsidR="00EC2FE9" w:rsidRDefault="00EC2FE9">
      <w:pPr>
        <w:rPr>
          <w:rFonts w:ascii="Arial" w:hAnsi="Arial" w:cs="Arial"/>
          <w:sz w:val="20"/>
          <w:szCs w:val="20"/>
        </w:rPr>
      </w:pPr>
    </w:p>
    <w:p w14:paraId="37C97124" w14:textId="77777777" w:rsidR="00EC2FE9" w:rsidRDefault="00EC2FE9">
      <w:pPr>
        <w:rPr>
          <w:sz w:val="20"/>
          <w:szCs w:val="20"/>
        </w:rPr>
      </w:pPr>
    </w:p>
    <w:p w14:paraId="37C97125" w14:textId="77777777" w:rsidR="00EC2FE9" w:rsidRDefault="00EC2FE9"/>
    <w:p w14:paraId="37C97126" w14:textId="77777777" w:rsidR="00EC2FE9" w:rsidRDefault="00EC2FE9"/>
    <w:p w14:paraId="37C97127" w14:textId="77777777" w:rsidR="00EC2FE9" w:rsidRDefault="004D7B1E">
      <w:pPr>
        <w:ind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7C97128" w14:textId="77777777" w:rsidR="00EC2FE9" w:rsidRDefault="00EC2FE9">
      <w:pPr>
        <w:ind w:firstLine="360"/>
        <w:rPr>
          <w:rFonts w:ascii="Arial" w:hAnsi="Arial" w:cs="Arial"/>
          <w:sz w:val="20"/>
          <w:szCs w:val="20"/>
        </w:rPr>
      </w:pPr>
    </w:p>
    <w:p w14:paraId="37C97129" w14:textId="77777777" w:rsidR="00EC2FE9" w:rsidRDefault="00EC2FE9">
      <w:pPr>
        <w:ind w:firstLine="360"/>
        <w:rPr>
          <w:rFonts w:ascii="Arial" w:hAnsi="Arial" w:cs="Arial"/>
          <w:sz w:val="20"/>
          <w:szCs w:val="20"/>
        </w:rPr>
      </w:pPr>
    </w:p>
    <w:p w14:paraId="37C9712A" w14:textId="77777777" w:rsidR="00EC2FE9" w:rsidRDefault="00EC2FE9">
      <w:pPr>
        <w:ind w:firstLine="360"/>
        <w:rPr>
          <w:rFonts w:ascii="Arial" w:hAnsi="Arial" w:cs="Arial"/>
          <w:sz w:val="20"/>
          <w:szCs w:val="20"/>
        </w:rPr>
      </w:pPr>
    </w:p>
    <w:p w14:paraId="37C9712B" w14:textId="77777777" w:rsidR="00EC2FE9" w:rsidRDefault="00EC2FE9"/>
    <w:sectPr w:rsidR="00EC2FE9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RHelvetica"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E9"/>
    <w:rsid w:val="000026F4"/>
    <w:rsid w:val="00050F6C"/>
    <w:rsid w:val="00082DB6"/>
    <w:rsid w:val="00084489"/>
    <w:rsid w:val="00084E07"/>
    <w:rsid w:val="000859DB"/>
    <w:rsid w:val="00091BE0"/>
    <w:rsid w:val="000977A1"/>
    <w:rsid w:val="000C1F53"/>
    <w:rsid w:val="000C74E3"/>
    <w:rsid w:val="000E1223"/>
    <w:rsid w:val="000E7AF5"/>
    <w:rsid w:val="00123253"/>
    <w:rsid w:val="00131CFB"/>
    <w:rsid w:val="0016755E"/>
    <w:rsid w:val="00180ED9"/>
    <w:rsid w:val="00193794"/>
    <w:rsid w:val="001E6383"/>
    <w:rsid w:val="001F6621"/>
    <w:rsid w:val="002004EA"/>
    <w:rsid w:val="002046A0"/>
    <w:rsid w:val="00233DB1"/>
    <w:rsid w:val="00252D77"/>
    <w:rsid w:val="0027228E"/>
    <w:rsid w:val="002D1920"/>
    <w:rsid w:val="002D5BAB"/>
    <w:rsid w:val="002F0238"/>
    <w:rsid w:val="0031530A"/>
    <w:rsid w:val="003A1F7B"/>
    <w:rsid w:val="003D0B81"/>
    <w:rsid w:val="004724D2"/>
    <w:rsid w:val="00480DC5"/>
    <w:rsid w:val="00485EA8"/>
    <w:rsid w:val="00491591"/>
    <w:rsid w:val="004D7B1E"/>
    <w:rsid w:val="004F6ACF"/>
    <w:rsid w:val="005311C7"/>
    <w:rsid w:val="005647D0"/>
    <w:rsid w:val="00597416"/>
    <w:rsid w:val="005C3FF2"/>
    <w:rsid w:val="005C579E"/>
    <w:rsid w:val="00614512"/>
    <w:rsid w:val="00692E79"/>
    <w:rsid w:val="007650E6"/>
    <w:rsid w:val="007B2CD4"/>
    <w:rsid w:val="007D42FC"/>
    <w:rsid w:val="007F036B"/>
    <w:rsid w:val="007F31D7"/>
    <w:rsid w:val="007F7643"/>
    <w:rsid w:val="008247EA"/>
    <w:rsid w:val="00884538"/>
    <w:rsid w:val="00892AEA"/>
    <w:rsid w:val="008A3BA2"/>
    <w:rsid w:val="008C315C"/>
    <w:rsid w:val="008D2972"/>
    <w:rsid w:val="008E32DC"/>
    <w:rsid w:val="00927881"/>
    <w:rsid w:val="00955471"/>
    <w:rsid w:val="009A214B"/>
    <w:rsid w:val="009E0424"/>
    <w:rsid w:val="009E1113"/>
    <w:rsid w:val="009E55C7"/>
    <w:rsid w:val="00A03044"/>
    <w:rsid w:val="00A15621"/>
    <w:rsid w:val="00A65F67"/>
    <w:rsid w:val="00AD23F6"/>
    <w:rsid w:val="00AD3532"/>
    <w:rsid w:val="00AE3AE4"/>
    <w:rsid w:val="00B40DDA"/>
    <w:rsid w:val="00B57853"/>
    <w:rsid w:val="00B86DF3"/>
    <w:rsid w:val="00BE0520"/>
    <w:rsid w:val="00C424E1"/>
    <w:rsid w:val="00C57A3D"/>
    <w:rsid w:val="00C83C8C"/>
    <w:rsid w:val="00C86C31"/>
    <w:rsid w:val="00CE3F38"/>
    <w:rsid w:val="00D201EC"/>
    <w:rsid w:val="00D30CBA"/>
    <w:rsid w:val="00D70D30"/>
    <w:rsid w:val="00D829D5"/>
    <w:rsid w:val="00D87FF0"/>
    <w:rsid w:val="00DD0EDA"/>
    <w:rsid w:val="00DE2832"/>
    <w:rsid w:val="00E070E8"/>
    <w:rsid w:val="00E1540D"/>
    <w:rsid w:val="00E22EC9"/>
    <w:rsid w:val="00E4638B"/>
    <w:rsid w:val="00E56F5A"/>
    <w:rsid w:val="00EC2FE9"/>
    <w:rsid w:val="00EE2DF3"/>
    <w:rsid w:val="00F41A2D"/>
    <w:rsid w:val="00F47E2A"/>
    <w:rsid w:val="00F55C27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9707B"/>
  <w15:docId w15:val="{40B62FDD-77EC-4BCD-803E-13605CDA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F70"/>
    <w:pPr>
      <w:widowControl w:val="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qFormat/>
    <w:rsid w:val="00175F70"/>
    <w:rPr>
      <w:rFonts w:ascii="HRHelvetica" w:eastAsia="Times New Roman" w:hAnsi="HRHelvetica" w:cs="Times New Roman"/>
      <w:b/>
      <w:spacing w:val="-4"/>
      <w:sz w:val="24"/>
      <w:szCs w:val="20"/>
      <w:lang w:val="en-US" w:eastAsia="hr-HR"/>
    </w:rPr>
  </w:style>
  <w:style w:type="character" w:customStyle="1" w:styleId="Tijeloteksta3Char">
    <w:name w:val="Tijelo teksta 3 Char"/>
    <w:basedOn w:val="Zadanifontodlomka"/>
    <w:link w:val="Tijeloteksta3"/>
    <w:uiPriority w:val="99"/>
    <w:qFormat/>
    <w:rsid w:val="00175F70"/>
    <w:rPr>
      <w:rFonts w:ascii="Times New Roman" w:eastAsia="SimSun" w:hAnsi="Times New Roman" w:cs="Mangal"/>
      <w:kern w:val="2"/>
      <w:sz w:val="16"/>
      <w:szCs w:val="14"/>
      <w:lang w:eastAsia="hi-IN" w:bidi="hi-I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4B07EE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link w:val="TijelotekstaChar"/>
    <w:rsid w:val="00175F70"/>
    <w:pPr>
      <w:widowControl/>
    </w:pPr>
    <w:rPr>
      <w:rFonts w:ascii="HRHelvetica" w:eastAsia="Times New Roman" w:hAnsi="HRHelvetica" w:cs="Times New Roman"/>
      <w:b/>
      <w:spacing w:val="-4"/>
      <w:kern w:val="0"/>
      <w:szCs w:val="20"/>
      <w:lang w:val="en-US" w:eastAsia="hr-HR" w:bidi="ar-SA"/>
    </w:r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Web">
    <w:name w:val="Normal (Web)"/>
    <w:basedOn w:val="Normal"/>
    <w:qFormat/>
    <w:rsid w:val="00175F70"/>
    <w:pPr>
      <w:spacing w:before="280" w:after="280"/>
    </w:pPr>
  </w:style>
  <w:style w:type="paragraph" w:styleId="Tijeloteksta3">
    <w:name w:val="Body Text 3"/>
    <w:basedOn w:val="Normal"/>
    <w:link w:val="Tijeloteksta3Char"/>
    <w:uiPriority w:val="99"/>
    <w:unhideWhenUsed/>
    <w:qFormat/>
    <w:rsid w:val="00175F70"/>
    <w:pPr>
      <w:spacing w:after="120"/>
    </w:pPr>
    <w:rPr>
      <w:sz w:val="16"/>
      <w:szCs w:val="14"/>
    </w:rPr>
  </w:style>
  <w:style w:type="paragraph" w:styleId="Bezproreda">
    <w:name w:val="No Spacing"/>
    <w:uiPriority w:val="1"/>
    <w:qFormat/>
    <w:rsid w:val="0073486E"/>
    <w:pPr>
      <w:widowControl w:val="0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4B07EE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123F3-2EE3-4825-A9DC-B64416C36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2228</Words>
  <Characters>12702</Characters>
  <Application>Microsoft Office Word</Application>
  <DocSecurity>0</DocSecurity>
  <Lines>105</Lines>
  <Paragraphs>29</Paragraphs>
  <ScaleCrop>false</ScaleCrop>
  <Company/>
  <LinksUpToDate>false</LinksUpToDate>
  <CharactersWithSpaces>14901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Lozančić</dc:creator>
  <dc:description/>
  <cp:lastModifiedBy>Martina Krajina</cp:lastModifiedBy>
  <cp:revision>2</cp:revision>
  <cp:lastPrinted>2020-12-07T10:16:00Z</cp:lastPrinted>
  <dcterms:created xsi:type="dcterms:W3CDTF">2026-10-15T16:44:00Z</dcterms:created>
  <dcterms:modified xsi:type="dcterms:W3CDTF">2026-10-15T16:44:00Z</dcterms:modified>
  <dc:language>hr-HR</dc:language>
</cp:coreProperties>
</file>