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44" w:type="dxa"/>
        <w:jc w:val="left"/>
        <w:tblInd w:w="150" w:type="dxa"/>
        <w:tblLayout w:type="fixed"/>
        <w:tblCellMar>
          <w:top w:w="150" w:type="dxa"/>
          <w:left w:w="150" w:type="dxa"/>
          <w:bottom w:w="150" w:type="dxa"/>
          <w:right w:w="150" w:type="dxa"/>
        </w:tblCellMar>
        <w:tblLook w:val="04a0" w:firstRow="1" w:noVBand="1" w:lastRow="0" w:firstColumn="1" w:lastColumn="0" w:noHBand="0"/>
      </w:tblPr>
      <w:tblGrid>
        <w:gridCol w:w="2583"/>
        <w:gridCol w:w="7061"/>
      </w:tblGrid>
      <w:tr>
        <w:trPr/>
        <w:tc>
          <w:tcPr>
            <w:tcW w:w="9644" w:type="dxa"/>
            <w:gridSpan w:val="2"/>
            <w:tcBorders>
              <w:top w:val="single" w:sz="2" w:space="0" w:color="EEEEEE"/>
              <w:left w:val="single" w:sz="2" w:space="0" w:color="EEEEEE"/>
              <w:bottom w:val="single" w:sz="2" w:space="0" w:color="EEEEEE"/>
              <w:right w:val="single" w:sz="2" w:space="0" w:color="EEEEEE"/>
            </w:tcBorders>
            <w:shd w:color="auto" w:fill="FFFFFF" w:val="clear"/>
            <w:vAlign w:val="center"/>
          </w:tcPr>
          <w:p>
            <w:pPr>
              <w:pStyle w:val="Sadrajitabliceuser"/>
              <w:spacing w:before="0" w:after="283"/>
              <w:rPr>
                <w:color w:val="333333"/>
              </w:rPr>
            </w:pPr>
            <w:r>
              <w:rPr>
                <w:color w:val="333333"/>
              </w:rPr>
              <w:t>PRIJEDLOG</w:t>
            </w:r>
          </w:p>
          <w:p>
            <w:pPr>
              <w:pStyle w:val="Normal"/>
              <w:jc w:val="center"/>
              <w:rPr>
                <w:b/>
                <w:bCs/>
              </w:rPr>
            </w:pPr>
            <w:r>
              <w:rPr>
                <w:b/>
                <w:bCs/>
              </w:rPr>
              <w:t>Odluke o privremenoj zabrani izvođenja građevinskih radova u</w:t>
            </w:r>
          </w:p>
          <w:p>
            <w:pPr>
              <w:pStyle w:val="Normal"/>
              <w:jc w:val="center"/>
              <w:rPr>
                <w:b/>
                <w:bCs/>
              </w:rPr>
            </w:pPr>
            <w:r>
              <w:rPr>
                <w:b/>
                <w:bCs/>
              </w:rPr>
              <w:t>2027. godini,</w:t>
            </w:r>
          </w:p>
          <w:p>
            <w:pPr>
              <w:pStyle w:val="Normal"/>
              <w:rPr>
                <w:b/>
              </w:rPr>
            </w:pPr>
            <w:r>
              <w:rPr>
                <w:b/>
              </w:rPr>
            </w:r>
          </w:p>
          <w:p>
            <w:pPr>
              <w:pStyle w:val="Sadrajitabliceuser"/>
              <w:jc w:val="both"/>
              <w:rPr/>
            </w:pPr>
            <w:r>
              <w:rPr/>
              <w:t>POZIV JAVNOSTI ZA DOSTAVU MIŠLJENJA, PRIMJEDBI I PRIJEDLOGA PUTEM INTERNETSKOG SAVJETOVANJA SA JAVNOŠĆU</w:t>
            </w:r>
          </w:p>
        </w:tc>
      </w:tr>
      <w:tr>
        <w:trPr/>
        <w:tc>
          <w:tcPr>
            <w:tcW w:w="2583" w:type="dxa"/>
            <w:tcBorders>
              <w:top w:val="single" w:sz="2" w:space="0" w:color="EEEEEE"/>
              <w:left w:val="single" w:sz="2" w:space="0" w:color="EEEEEE"/>
              <w:bottom w:val="single" w:sz="2" w:space="0" w:color="EEEEEE"/>
            </w:tcBorders>
            <w:shd w:color="auto" w:fill="FFFFFF" w:val="clear"/>
            <w:vAlign w:val="center"/>
          </w:tcPr>
          <w:p>
            <w:pPr>
              <w:pStyle w:val="Sadrajitabliceuser"/>
              <w:rPr/>
            </w:pPr>
            <w:r>
              <w:rPr/>
              <w:t>RAZLOZI DONOŠENJA AKTA</w:t>
            </w:r>
          </w:p>
        </w:tc>
        <w:tc>
          <w:tcPr>
            <w:tcW w:w="7061" w:type="dxa"/>
            <w:tcBorders>
              <w:top w:val="single" w:sz="2" w:space="0" w:color="EEEEEE"/>
              <w:left w:val="single" w:sz="2" w:space="0" w:color="EEEEEE"/>
              <w:bottom w:val="single" w:sz="2" w:space="0" w:color="EEEEEE"/>
              <w:right w:val="single" w:sz="2" w:space="0" w:color="EEEEEE"/>
            </w:tcBorders>
            <w:shd w:color="auto" w:fill="FFFFFF" w:val="clear"/>
            <w:vAlign w:val="center"/>
          </w:tcPr>
          <w:p>
            <w:pPr>
              <w:pStyle w:val="NormalWeb"/>
              <w:shd w:val="clear" w:color="auto" w:fill="FFFFFF"/>
              <w:spacing w:beforeAutospacing="0" w:before="0" w:after="280"/>
              <w:jc w:val="both"/>
              <w:rPr/>
            </w:pPr>
            <w:r>
              <w:rPr/>
              <w:t>Temeljem članka 90. Zakona o gradnji (“Narodne novine”, broj 155/25) predstavničko tijelo jedinice lokalne samouprave po prethodno pribavljenom mišljenju turističke zajednice grada, može odlukom za određene vrste građevina, na određenim područjima, odrediti razdoblje iduće kalendarske godine i vrijeme u kojem se ne mogu izvoditi zemljani radovi i radovi na izgradnji konstrukcije.</w:t>
            </w:r>
          </w:p>
          <w:p>
            <w:pPr>
              <w:pStyle w:val="NormalWeb"/>
              <w:shd w:val="clear" w:color="auto" w:fill="FFFFFF"/>
              <w:spacing w:beforeAutospacing="0" w:before="0" w:after="280"/>
              <w:jc w:val="both"/>
              <w:rPr/>
            </w:pPr>
            <w:r>
              <w:rPr/>
              <w:t>Odluka se ne odnosi na građevine, odnosno radove za čije je građenje utvrđen interes Republike Hrvatske, uklanjanje građevina na temelju rješenja građevinske inspekcije ili odluke drugog tijela državne vlasti te građenje građevina, odnosno izvođenje radova u godini u kojoj je odluka stupila na snagu.</w:t>
            </w:r>
          </w:p>
          <w:p>
            <w:pPr>
              <w:pStyle w:val="NormalWeb"/>
              <w:shd w:val="clear" w:color="auto" w:fill="FFFFFF"/>
              <w:spacing w:beforeAutospacing="0" w:before="0" w:after="280"/>
              <w:jc w:val="both"/>
              <w:rPr/>
            </w:pPr>
            <w:r>
              <w:rPr/>
              <w:t>Turističko vijeće TZG Malog Lošinja dostavilo je pozitivno mišljenje na prijedlog Odluke o privremenoj zabrani izvođenja građevinskih radova tijekom turističke sezone u 2027. godini (u daljnjem tekstu: Odluka).</w:t>
            </w:r>
          </w:p>
          <w:p>
            <w:pPr>
              <w:pStyle w:val="NormalWeb"/>
              <w:shd w:val="clear" w:color="auto" w:fill="FFFFFF"/>
              <w:spacing w:beforeAutospacing="0" w:before="0" w:afterAutospacing="0" w:after="0"/>
              <w:jc w:val="both"/>
              <w:rPr/>
            </w:pPr>
            <w:r>
              <w:rPr/>
              <w:t>Prijedlogom Odluke propisuju se odredbe o zabrani izvođenja zemljanih radova i radova na izgradnji konstrukcije građevine na području Grada Malog Lošinja za vrijeme turističke sezone. Na području Grada Malog Lošinja u 2027. godini ne smiju se izvoditi građevinski radovi, u razdoblju od 1. srpnja do 29. kolovoza 2027. godine.</w:t>
            </w:r>
          </w:p>
          <w:p>
            <w:pPr>
              <w:pStyle w:val="Normal"/>
              <w:rPr>
                <w:i/>
                <w:highlight w:val="yellow"/>
              </w:rPr>
            </w:pPr>
            <w:r>
              <w:rPr>
                <w:i/>
                <w:highlight w:val="yellow"/>
              </w:rPr>
            </w:r>
          </w:p>
        </w:tc>
      </w:tr>
      <w:tr>
        <w:trPr/>
        <w:tc>
          <w:tcPr>
            <w:tcW w:w="2583" w:type="dxa"/>
            <w:tcBorders>
              <w:top w:val="single" w:sz="2" w:space="0" w:color="EEEEEE"/>
              <w:left w:val="single" w:sz="2" w:space="0" w:color="EEEEEE"/>
              <w:bottom w:val="single" w:sz="2" w:space="0" w:color="EEEEEE"/>
            </w:tcBorders>
            <w:shd w:color="auto" w:fill="FFFFFF" w:val="clear"/>
            <w:vAlign w:val="center"/>
          </w:tcPr>
          <w:p>
            <w:pPr>
              <w:pStyle w:val="Sadrajitabliceuser"/>
              <w:rPr/>
            </w:pPr>
            <w:r>
              <w:rPr/>
              <w:t>CILJEVI PROVOĐENJA SAVJETOVANJA</w:t>
            </w:r>
          </w:p>
        </w:tc>
        <w:tc>
          <w:tcPr>
            <w:tcW w:w="7061" w:type="dxa"/>
            <w:tcBorders>
              <w:top w:val="single" w:sz="2" w:space="0" w:color="EEEEEE"/>
              <w:left w:val="single" w:sz="2" w:space="0" w:color="EEEEEE"/>
              <w:bottom w:val="single" w:sz="2" w:space="0" w:color="EEEEEE"/>
              <w:right w:val="single" w:sz="2" w:space="0" w:color="EEEEEE"/>
            </w:tcBorders>
            <w:shd w:color="auto" w:fill="FFFFFF" w:val="clear"/>
            <w:vAlign w:val="center"/>
          </w:tcPr>
          <w:p>
            <w:pPr>
              <w:pStyle w:val="Normal"/>
              <w:jc w:val="both"/>
              <w:rPr/>
            </w:pPr>
            <w:r>
              <w:rPr>
                <w:color w:val="000000"/>
                <w:shd w:fill="FFFFFF" w:val="clear"/>
              </w:rPr>
              <w:t xml:space="preserve">Cilj provođenja savjetovanja sa javnošću je upoznavanje javnosti s predloženim  prijedlogom </w:t>
            </w:r>
            <w:r>
              <w:rPr/>
              <w:t xml:space="preserve">Odluke o privremenoj zabrani izvođenja građevinskih radova u 2027. godini, </w:t>
            </w:r>
            <w:r>
              <w:rPr>
                <w:shd w:fill="FFFFFF" w:val="clear"/>
              </w:rPr>
              <w:t>te dobivanje mišljenja, primjedbi i prijedloga.</w:t>
            </w:r>
          </w:p>
          <w:p>
            <w:pPr>
              <w:pStyle w:val="Sadrajitabliceuser"/>
              <w:spacing w:before="0" w:after="283"/>
              <w:rPr>
                <w:color w:val="000000"/>
                <w:highlight w:val="yellow"/>
              </w:rPr>
            </w:pPr>
            <w:r>
              <w:rPr>
                <w:color w:val="000000"/>
                <w:highlight w:val="yellow"/>
              </w:rPr>
            </w:r>
          </w:p>
        </w:tc>
      </w:tr>
      <w:tr>
        <w:trPr/>
        <w:tc>
          <w:tcPr>
            <w:tcW w:w="2583" w:type="dxa"/>
            <w:tcBorders>
              <w:top w:val="single" w:sz="2" w:space="0" w:color="EEEEEE"/>
              <w:left w:val="single" w:sz="2" w:space="0" w:color="EEEEEE"/>
              <w:bottom w:val="single" w:sz="2" w:space="0" w:color="EEEEEE"/>
            </w:tcBorders>
            <w:shd w:color="auto" w:fill="FFFFFF" w:val="clear"/>
            <w:vAlign w:val="center"/>
          </w:tcPr>
          <w:p>
            <w:pPr>
              <w:pStyle w:val="Sadrajitabliceuser"/>
              <w:rPr/>
            </w:pPr>
            <w:r>
              <w:rPr/>
              <w:t>ROK ZA PODNOŠENJE MIŠLJENJA, PRIMJEDBI I PRIJEDLOGA</w:t>
            </w:r>
          </w:p>
        </w:tc>
        <w:tc>
          <w:tcPr>
            <w:tcW w:w="7061" w:type="dxa"/>
            <w:tcBorders>
              <w:top w:val="single" w:sz="2" w:space="0" w:color="EEEEEE"/>
              <w:left w:val="single" w:sz="2" w:space="0" w:color="EEEEEE"/>
              <w:bottom w:val="single" w:sz="2" w:space="0" w:color="EEEEEE"/>
              <w:right w:val="single" w:sz="2" w:space="0" w:color="EEEEEE"/>
            </w:tcBorders>
            <w:shd w:color="auto" w:fill="FFFFFF" w:val="clear"/>
            <w:vAlign w:val="center"/>
          </w:tcPr>
          <w:p>
            <w:pPr>
              <w:pStyle w:val="Sadrajitabliceuser"/>
              <w:spacing w:before="0" w:after="283"/>
              <w:rPr/>
            </w:pPr>
            <w:r>
              <w:rPr/>
              <w:t>30.10.2026. – 28.11.2026.</w:t>
            </w:r>
          </w:p>
          <w:p>
            <w:pPr>
              <w:pStyle w:val="Sadrajitabliceuser"/>
              <w:spacing w:before="0" w:after="283"/>
              <w:rPr>
                <w:i/>
                <w:highlight w:val="yellow"/>
              </w:rPr>
            </w:pPr>
            <w:r>
              <w:rPr>
                <w:i/>
                <w:highlight w:val="yellow"/>
              </w:rPr>
            </w:r>
          </w:p>
        </w:tc>
      </w:tr>
      <w:tr>
        <w:trPr/>
        <w:tc>
          <w:tcPr>
            <w:tcW w:w="2583" w:type="dxa"/>
            <w:tcBorders>
              <w:top w:val="single" w:sz="2" w:space="0" w:color="EEEEEE"/>
              <w:left w:val="single" w:sz="2" w:space="0" w:color="EEEEEE"/>
              <w:bottom w:val="single" w:sz="2" w:space="0" w:color="EEEEEE"/>
            </w:tcBorders>
            <w:shd w:color="auto" w:fill="FFFFFF" w:val="clear"/>
            <w:vAlign w:val="center"/>
          </w:tcPr>
          <w:p>
            <w:pPr>
              <w:pStyle w:val="Sadrajitabliceuser"/>
              <w:rPr/>
            </w:pPr>
            <w:r>
              <w:rPr/>
              <w:t>ADRESA I NAČIN PODNOŠENJA MIŠLJENJA, PRIMJEDBI I PRIJEDLOGA</w:t>
            </w:r>
          </w:p>
        </w:tc>
        <w:tc>
          <w:tcPr>
            <w:tcW w:w="7061" w:type="dxa"/>
            <w:tcBorders>
              <w:top w:val="single" w:sz="2" w:space="0" w:color="EEEEEE"/>
              <w:left w:val="single" w:sz="2" w:space="0" w:color="EEEEEE"/>
              <w:bottom w:val="single" w:sz="2" w:space="0" w:color="EEEEEE"/>
              <w:right w:val="single" w:sz="2" w:space="0" w:color="EEEEEE"/>
            </w:tcBorders>
            <w:shd w:color="auto" w:fill="FFFFFF" w:val="clear"/>
            <w:vAlign w:val="center"/>
          </w:tcPr>
          <w:p>
            <w:pPr>
              <w:pStyle w:val="Sadrajitabliceuser"/>
              <w:rPr/>
            </w:pPr>
            <w:r>
              <w:rPr/>
              <w:t>Pisane primjedbe na prijedlog Odluke dostavljaju se na zadanom obrascu (u prilogu) i to elektroničkom poštom na e-mail:</w:t>
            </w:r>
            <w:r>
              <w:rPr>
                <w:b/>
                <w:bCs/>
                <w:u w:val="single"/>
              </w:rPr>
              <w:t>martina.krajina</w:t>
            </w:r>
            <w:r>
              <w:rPr>
                <w:rStyle w:val="Strong"/>
                <w:color w:val="333333"/>
                <w:u w:val="single"/>
                <w:shd w:fill="FFFFFF" w:val="clear"/>
              </w:rPr>
              <w:t>@mali-losinj.hr</w:t>
            </w:r>
          </w:p>
        </w:tc>
      </w:tr>
      <w:tr>
        <w:trPr/>
        <w:tc>
          <w:tcPr>
            <w:tcW w:w="9644" w:type="dxa"/>
            <w:gridSpan w:val="2"/>
            <w:tcBorders>
              <w:top w:val="single" w:sz="2" w:space="0" w:color="EEEEEE"/>
              <w:left w:val="single" w:sz="2" w:space="0" w:color="EEEEEE"/>
              <w:bottom w:val="single" w:sz="2" w:space="0" w:color="EEEEEE"/>
              <w:right w:val="single" w:sz="2" w:space="0" w:color="EEEEEE"/>
            </w:tcBorders>
            <w:shd w:color="auto" w:fill="FFFFFF" w:val="clear"/>
            <w:vAlign w:val="center"/>
          </w:tcPr>
          <w:p>
            <w:pPr>
              <w:pStyle w:val="Sadrajitabliceuser"/>
              <w:rPr/>
            </w:pPr>
            <w:r>
              <w:rPr/>
              <w:t xml:space="preserve">Sukladno odredbama članka 11. Zakona o pravu na pristup informacijama (Narodne novine, broj 25/13, 85/15 i </w:t>
            </w:r>
            <w:r>
              <w:rPr/>
              <w:t>69/22</w:t>
            </w:r>
            <w:r>
              <w:rPr/>
              <w:t>) nakon provedenog savjetovanja sa javnošću, nositelj izrade akta dužan je o prihvaćenim/neprihvaćenim primjedbama i prijedlozima obavijestiti javnost putem svoje web stranice na kojoj će objaviti Izvješće o provedenom savjetovanju sa javnošću.</w:t>
            </w:r>
          </w:p>
        </w:tc>
      </w:tr>
    </w:tbl>
    <w:p>
      <w:pPr>
        <w:pStyle w:val="Normal"/>
        <w:rPr/>
      </w:pPr>
      <w:r>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c4132"/>
    <w:pPr>
      <w:widowControl w:val="false"/>
      <w:suppressAutoHyphens w:val="true"/>
      <w:bidi w:val="0"/>
      <w:spacing w:lineRule="auto" w:line="240" w:before="0" w:after="0"/>
      <w:jc w:val="left"/>
    </w:pPr>
    <w:rPr>
      <w:rFonts w:ascii="Times New Roman" w:hAnsi="Times New Roman" w:eastAsia="Arial Unicode MS" w:cs="Times New Roman"/>
      <w:color w:val="auto"/>
      <w:kern w:val="2"/>
      <w:sz w:val="24"/>
      <w:szCs w:val="24"/>
      <w:lang w:val="hr-HR" w:eastAsia="zh-CN"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dc4132"/>
    <w:rPr>
      <w:b/>
      <w:bCs/>
    </w:rPr>
  </w:style>
  <w:style w:type="paragraph" w:styleId="Stilnaslova">
    <w:name w:val="Stil naslova"/>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Stilnaslovauser">
    <w:name w:val="Stil naslova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Sadrajitabliceuser" w:customStyle="1">
    <w:name w:val="Sadržaji tablice (user)"/>
    <w:basedOn w:val="Normal"/>
    <w:qFormat/>
    <w:rsid w:val="00dc4132"/>
    <w:pPr>
      <w:suppressLineNumbers/>
    </w:pPr>
    <w:rPr/>
  </w:style>
  <w:style w:type="paragraph" w:styleId="NormalWeb">
    <w:name w:val="Normal (Web)"/>
    <w:basedOn w:val="Normal"/>
    <w:uiPriority w:val="99"/>
    <w:unhideWhenUsed/>
    <w:qFormat/>
    <w:rsid w:val="005a4970"/>
    <w:pPr>
      <w:widowControl/>
      <w:suppressAutoHyphens w:val="false"/>
      <w:spacing w:beforeAutospacing="1" w:afterAutospacing="1"/>
    </w:pPr>
    <w:rPr>
      <w:rFonts w:eastAsia="Times New Roman"/>
      <w:kern w:val="0"/>
      <w:lang w:eastAsia="hr-HR"/>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sustava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103</TotalTime>
  <Application>LibreOffice/26.2.6.3$Windows_X86_64 LibreOffice_project/8221e31b3ac356a1623c672912a3d2b492f7e3d1</Application>
  <AppVersion>15.0000</AppVersion>
  <Pages>2</Pages>
  <Words>312</Words>
  <Characters>2013</Characters>
  <CharactersWithSpaces>2311</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2024-03-26T13:57:00Z</dcterms:created>
  <dc:creator>Ema Galjanić</dc:creator>
  <dc:description/>
  <dc:language>hr-HR</dc:language>
  <cp:lastModifiedBy/>
  <dcterms:modified xsi:type="dcterms:W3CDTF">2026-10-30T13:59:54Z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